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70" w:rsidRDefault="00BD6470" w:rsidP="00BD64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УДК </w:t>
      </w:r>
      <w:r w:rsidR="00AB1593">
        <w:rPr>
          <w:b/>
          <w:sz w:val="20"/>
          <w:szCs w:val="20"/>
        </w:rPr>
        <w:t>556</w:t>
      </w:r>
    </w:p>
    <w:p w:rsidR="00BD6470" w:rsidRDefault="00BD6470" w:rsidP="00BD6470">
      <w:pPr>
        <w:ind w:firstLine="680"/>
        <w:jc w:val="center"/>
        <w:rPr>
          <w:b/>
          <w:sz w:val="24"/>
          <w:szCs w:val="24"/>
        </w:rPr>
      </w:pPr>
    </w:p>
    <w:p w:rsidR="00BF7E9B" w:rsidRDefault="00BF7E9B" w:rsidP="00DF179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</w:t>
      </w:r>
      <w:r w:rsidRPr="00BF7E9B">
        <w:rPr>
          <w:b/>
          <w:i/>
          <w:sz w:val="24"/>
          <w:szCs w:val="24"/>
        </w:rPr>
        <w:t xml:space="preserve">ранспортный критерий — приоритетная основа оценки </w:t>
      </w:r>
    </w:p>
    <w:p w:rsidR="00DF1797" w:rsidRPr="00141405" w:rsidRDefault="00BF7E9B" w:rsidP="00DF1797">
      <w:pPr>
        <w:jc w:val="center"/>
        <w:rPr>
          <w:b/>
          <w:i/>
          <w:sz w:val="24"/>
          <w:szCs w:val="24"/>
        </w:rPr>
      </w:pPr>
      <w:r w:rsidRPr="00BF7E9B">
        <w:rPr>
          <w:b/>
          <w:i/>
          <w:sz w:val="24"/>
          <w:szCs w:val="24"/>
        </w:rPr>
        <w:t>«степени концентрации строительства» на урбанизированных территориях</w:t>
      </w:r>
    </w:p>
    <w:p w:rsidR="00DF1797" w:rsidRDefault="00DF1797" w:rsidP="00BD6470">
      <w:pPr>
        <w:ind w:firstLine="680"/>
        <w:rPr>
          <w:b/>
          <w:sz w:val="20"/>
          <w:szCs w:val="20"/>
        </w:rPr>
      </w:pPr>
    </w:p>
    <w:p w:rsidR="00E805E1" w:rsidRDefault="00E805E1" w:rsidP="00E805E1">
      <w:pPr>
        <w:rPr>
          <w:b/>
          <w:sz w:val="20"/>
          <w:szCs w:val="20"/>
        </w:rPr>
      </w:pPr>
    </w:p>
    <w:p w:rsidR="00141405" w:rsidRDefault="00E805E1" w:rsidP="00141405">
      <w:pPr>
        <w:ind w:firstLine="680"/>
        <w:jc w:val="right"/>
        <w:rPr>
          <w:sz w:val="20"/>
          <w:szCs w:val="20"/>
        </w:rPr>
      </w:pPr>
      <w:r w:rsidRPr="00141405">
        <w:rPr>
          <w:b/>
          <w:sz w:val="20"/>
          <w:szCs w:val="20"/>
        </w:rPr>
        <w:t>Огородников А.В.</w:t>
      </w:r>
      <w:r w:rsidR="00141405">
        <w:rPr>
          <w:sz w:val="20"/>
          <w:szCs w:val="20"/>
        </w:rPr>
        <w:t>,</w:t>
      </w:r>
    </w:p>
    <w:p w:rsidR="00141405" w:rsidRDefault="00141405" w:rsidP="00C01513">
      <w:pPr>
        <w:ind w:firstLine="6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магистрант </w:t>
      </w:r>
      <w:r w:rsidRPr="00141405">
        <w:rPr>
          <w:sz w:val="20"/>
          <w:szCs w:val="20"/>
        </w:rPr>
        <w:t>МДП-СЗС-191</w:t>
      </w:r>
      <w:r>
        <w:rPr>
          <w:sz w:val="20"/>
          <w:szCs w:val="20"/>
        </w:rPr>
        <w:t xml:space="preserve">, </w:t>
      </w:r>
    </w:p>
    <w:p w:rsidR="00141405" w:rsidRDefault="00E805E1" w:rsidP="00141405">
      <w:pPr>
        <w:ind w:firstLine="6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заведующий лабораторией кафедры строительного производства </w:t>
      </w:r>
    </w:p>
    <w:p w:rsidR="00E805E1" w:rsidRDefault="00E805E1" w:rsidP="00141405">
      <w:pPr>
        <w:ind w:firstLine="6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инженерно-строительного факультета </w:t>
      </w:r>
    </w:p>
    <w:p w:rsidR="00E805E1" w:rsidRDefault="00E805E1" w:rsidP="00141405">
      <w:pPr>
        <w:ind w:firstLine="680"/>
        <w:jc w:val="right"/>
        <w:rPr>
          <w:sz w:val="20"/>
          <w:szCs w:val="20"/>
        </w:rPr>
      </w:pPr>
    </w:p>
    <w:p w:rsidR="00141405" w:rsidRDefault="00141405" w:rsidP="00141405">
      <w:pPr>
        <w:ind w:firstLine="680"/>
        <w:jc w:val="right"/>
        <w:rPr>
          <w:sz w:val="20"/>
          <w:szCs w:val="20"/>
        </w:rPr>
      </w:pPr>
      <w:r>
        <w:rPr>
          <w:sz w:val="20"/>
          <w:szCs w:val="20"/>
        </w:rPr>
        <w:t>УО «Гродненский государственный университет им. Я.Купалы»,</w:t>
      </w:r>
    </w:p>
    <w:p w:rsidR="00E805E1" w:rsidRDefault="00141405" w:rsidP="00141405">
      <w:pPr>
        <w:ind w:firstLine="680"/>
        <w:jc w:val="right"/>
        <w:rPr>
          <w:sz w:val="20"/>
          <w:szCs w:val="20"/>
        </w:rPr>
      </w:pPr>
      <w:r>
        <w:rPr>
          <w:sz w:val="20"/>
          <w:szCs w:val="20"/>
        </w:rPr>
        <w:t>г.</w:t>
      </w:r>
      <w:r w:rsidR="00E805E1">
        <w:rPr>
          <w:sz w:val="20"/>
          <w:szCs w:val="20"/>
        </w:rPr>
        <w:t xml:space="preserve"> Гродно Республика Беларусь</w:t>
      </w:r>
    </w:p>
    <w:p w:rsidR="00E805E1" w:rsidRDefault="00E805E1" w:rsidP="00141405">
      <w:pPr>
        <w:ind w:firstLine="680"/>
        <w:jc w:val="right"/>
        <w:rPr>
          <w:sz w:val="20"/>
          <w:szCs w:val="20"/>
        </w:rPr>
      </w:pPr>
    </w:p>
    <w:p w:rsidR="00141405" w:rsidRDefault="00E805E1" w:rsidP="00141405">
      <w:pPr>
        <w:ind w:firstLine="680"/>
        <w:jc w:val="right"/>
        <w:rPr>
          <w:sz w:val="20"/>
          <w:szCs w:val="20"/>
        </w:rPr>
      </w:pPr>
      <w:r>
        <w:rPr>
          <w:sz w:val="20"/>
          <w:szCs w:val="20"/>
        </w:rPr>
        <w:t>тел</w:t>
      </w:r>
      <w:r w:rsidR="00141405">
        <w:rPr>
          <w:sz w:val="20"/>
          <w:szCs w:val="20"/>
        </w:rPr>
        <w:t>.</w:t>
      </w:r>
      <w:r>
        <w:rPr>
          <w:sz w:val="20"/>
          <w:szCs w:val="20"/>
        </w:rPr>
        <w:t xml:space="preserve">: +375(152)-412050, </w:t>
      </w:r>
    </w:p>
    <w:p w:rsidR="00141405" w:rsidRDefault="00141405" w:rsidP="00141405">
      <w:pPr>
        <w:ind w:firstLine="680"/>
        <w:jc w:val="right"/>
        <w:rPr>
          <w:sz w:val="20"/>
          <w:szCs w:val="20"/>
        </w:rPr>
      </w:pPr>
      <w:r>
        <w:rPr>
          <w:sz w:val="20"/>
          <w:szCs w:val="20"/>
        </w:rPr>
        <w:t>+375(29)-2830322</w:t>
      </w:r>
      <w:r w:rsidR="00E805E1">
        <w:rPr>
          <w:sz w:val="20"/>
          <w:szCs w:val="20"/>
        </w:rPr>
        <w:t xml:space="preserve">  </w:t>
      </w:r>
    </w:p>
    <w:p w:rsidR="00E805E1" w:rsidRPr="001E7ED1" w:rsidRDefault="00141405" w:rsidP="00141405">
      <w:pPr>
        <w:ind w:firstLine="680"/>
        <w:jc w:val="right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1E7ED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="00B1196B" w:rsidRPr="001E7ED1">
        <w:rPr>
          <w:sz w:val="20"/>
          <w:szCs w:val="20"/>
          <w:lang w:val="en-US"/>
        </w:rPr>
        <w:t xml:space="preserve">: </w:t>
      </w:r>
      <w:r w:rsidR="00B1196B" w:rsidRPr="00141405">
        <w:rPr>
          <w:sz w:val="20"/>
          <w:szCs w:val="20"/>
          <w:lang w:val="en-US"/>
        </w:rPr>
        <w:t>Ogorodnikov</w:t>
      </w:r>
      <w:r w:rsidR="00B1196B" w:rsidRPr="001E7ED1">
        <w:rPr>
          <w:sz w:val="20"/>
          <w:szCs w:val="20"/>
          <w:lang w:val="en-US"/>
        </w:rPr>
        <w:t>_</w:t>
      </w:r>
      <w:r w:rsidR="00B1196B" w:rsidRPr="00141405">
        <w:rPr>
          <w:sz w:val="20"/>
          <w:szCs w:val="20"/>
          <w:lang w:val="en-US"/>
        </w:rPr>
        <w:t>av</w:t>
      </w:r>
      <w:r w:rsidR="00B1196B" w:rsidRPr="001E7ED1">
        <w:rPr>
          <w:sz w:val="20"/>
          <w:szCs w:val="20"/>
          <w:lang w:val="en-US"/>
        </w:rPr>
        <w:t>@</w:t>
      </w:r>
      <w:r w:rsidR="00B1196B" w:rsidRPr="00B1196B">
        <w:rPr>
          <w:sz w:val="20"/>
          <w:szCs w:val="20"/>
          <w:lang w:val="en-US"/>
        </w:rPr>
        <w:t>grsu</w:t>
      </w:r>
      <w:r w:rsidR="00B1196B" w:rsidRPr="001E7ED1">
        <w:rPr>
          <w:sz w:val="20"/>
          <w:szCs w:val="20"/>
          <w:lang w:val="en-US"/>
        </w:rPr>
        <w:t>.</w:t>
      </w:r>
      <w:r w:rsidR="00B1196B" w:rsidRPr="00B1196B">
        <w:rPr>
          <w:sz w:val="20"/>
          <w:szCs w:val="20"/>
          <w:lang w:val="en-US"/>
        </w:rPr>
        <w:t>by</w:t>
      </w:r>
    </w:p>
    <w:p w:rsidR="00E805E1" w:rsidRPr="001E7ED1" w:rsidRDefault="00E805E1" w:rsidP="00BD6470">
      <w:pPr>
        <w:ind w:firstLine="680"/>
        <w:rPr>
          <w:b/>
          <w:sz w:val="20"/>
          <w:szCs w:val="20"/>
          <w:lang w:val="en-US"/>
        </w:rPr>
      </w:pPr>
    </w:p>
    <w:p w:rsidR="00E805E1" w:rsidRPr="001E7ED1" w:rsidRDefault="00E805E1" w:rsidP="00BD6470">
      <w:pPr>
        <w:ind w:firstLine="680"/>
        <w:rPr>
          <w:b/>
          <w:sz w:val="20"/>
          <w:szCs w:val="20"/>
          <w:lang w:val="en-US"/>
        </w:rPr>
      </w:pPr>
    </w:p>
    <w:p w:rsidR="00A30F9E" w:rsidRPr="00A30F9E" w:rsidRDefault="00E805E1" w:rsidP="00E805E1">
      <w:pPr>
        <w:ind w:firstLine="680"/>
        <w:rPr>
          <w:i/>
          <w:sz w:val="24"/>
          <w:szCs w:val="24"/>
        </w:rPr>
      </w:pPr>
      <w:r w:rsidRPr="003957D5">
        <w:rPr>
          <w:i/>
          <w:sz w:val="24"/>
          <w:szCs w:val="24"/>
        </w:rPr>
        <w:t xml:space="preserve">В статье рассмотрена актуальная проблема возрастания техногенной нагрузки на </w:t>
      </w:r>
      <w:r w:rsidR="009A5930" w:rsidRPr="003957D5">
        <w:rPr>
          <w:i/>
          <w:sz w:val="24"/>
          <w:szCs w:val="24"/>
        </w:rPr>
        <w:t xml:space="preserve">селитебную </w:t>
      </w:r>
      <w:r w:rsidRPr="003957D5">
        <w:rPr>
          <w:i/>
          <w:sz w:val="24"/>
          <w:szCs w:val="24"/>
        </w:rPr>
        <w:t xml:space="preserve">территорию </w:t>
      </w:r>
      <w:r w:rsidR="00141405" w:rsidRPr="003957D5">
        <w:rPr>
          <w:i/>
          <w:sz w:val="24"/>
          <w:szCs w:val="24"/>
        </w:rPr>
        <w:t>с учетом</w:t>
      </w:r>
      <w:r w:rsidRPr="003957D5">
        <w:rPr>
          <w:i/>
          <w:sz w:val="24"/>
          <w:szCs w:val="24"/>
        </w:rPr>
        <w:t xml:space="preserve"> </w:t>
      </w:r>
      <w:r w:rsidR="00A30F9E">
        <w:rPr>
          <w:i/>
          <w:sz w:val="24"/>
          <w:szCs w:val="24"/>
        </w:rPr>
        <w:t xml:space="preserve">высокой </w:t>
      </w:r>
      <w:r w:rsidRPr="003957D5">
        <w:rPr>
          <w:i/>
          <w:sz w:val="24"/>
          <w:szCs w:val="24"/>
        </w:rPr>
        <w:t>концентрации городского строительства</w:t>
      </w:r>
      <w:r w:rsidR="00A30F9E">
        <w:rPr>
          <w:i/>
          <w:sz w:val="24"/>
          <w:szCs w:val="24"/>
        </w:rPr>
        <w:t xml:space="preserve"> и негативного </w:t>
      </w:r>
      <w:r w:rsidR="00A30F9E" w:rsidRPr="00A30F9E">
        <w:rPr>
          <w:i/>
          <w:sz w:val="24"/>
          <w:szCs w:val="24"/>
        </w:rPr>
        <w:t>воздействия на окружающую среду и экологическую безопасность территории.</w:t>
      </w:r>
    </w:p>
    <w:p w:rsidR="003957D5" w:rsidRPr="00A30F9E" w:rsidRDefault="003957D5" w:rsidP="003957D5">
      <w:pPr>
        <w:ind w:firstLine="680"/>
        <w:rPr>
          <w:i/>
          <w:sz w:val="24"/>
          <w:szCs w:val="24"/>
        </w:rPr>
      </w:pPr>
      <w:r w:rsidRPr="00A30F9E">
        <w:rPr>
          <w:i/>
          <w:sz w:val="24"/>
          <w:szCs w:val="24"/>
        </w:rPr>
        <w:t xml:space="preserve">В сравнительном анализе с действующими технологическими нормами законодательства Республики Беларусь, проведено </w:t>
      </w:r>
      <w:r w:rsidR="00A30F9E">
        <w:rPr>
          <w:i/>
          <w:sz w:val="24"/>
          <w:szCs w:val="24"/>
        </w:rPr>
        <w:t xml:space="preserve">первичное </w:t>
      </w:r>
      <w:r w:rsidRPr="00A30F9E">
        <w:rPr>
          <w:i/>
          <w:sz w:val="24"/>
          <w:szCs w:val="24"/>
        </w:rPr>
        <w:t xml:space="preserve">апробирование инновационной методики, разработанной в </w:t>
      </w:r>
      <w:r w:rsidR="00B14079">
        <w:rPr>
          <w:i/>
          <w:sz w:val="24"/>
          <w:szCs w:val="24"/>
        </w:rPr>
        <w:t>НИУ-</w:t>
      </w:r>
      <w:r w:rsidRPr="00A30F9E">
        <w:rPr>
          <w:i/>
          <w:sz w:val="24"/>
          <w:szCs w:val="24"/>
        </w:rPr>
        <w:t xml:space="preserve">МГСУ (РФ), по использованию транспортного критерия в качестве показателя концентрации строительства для оценки плотности застройки </w:t>
      </w:r>
      <w:r w:rsidR="009E7EE8">
        <w:rPr>
          <w:i/>
          <w:sz w:val="24"/>
          <w:szCs w:val="24"/>
        </w:rPr>
        <w:t>жилого комплекса «Колбасино»</w:t>
      </w:r>
      <w:r w:rsidR="00B27C74">
        <w:rPr>
          <w:i/>
          <w:sz w:val="24"/>
          <w:szCs w:val="24"/>
        </w:rPr>
        <w:t xml:space="preserve"> г. Гродно.</w:t>
      </w:r>
      <w:r w:rsidRPr="00A30F9E">
        <w:rPr>
          <w:i/>
          <w:sz w:val="24"/>
          <w:szCs w:val="24"/>
        </w:rPr>
        <w:t xml:space="preserve"> </w:t>
      </w:r>
    </w:p>
    <w:p w:rsidR="003957D5" w:rsidRPr="00A30F9E" w:rsidRDefault="003957D5" w:rsidP="003957D5">
      <w:pPr>
        <w:ind w:firstLine="680"/>
        <w:rPr>
          <w:i/>
          <w:sz w:val="24"/>
          <w:szCs w:val="24"/>
        </w:rPr>
      </w:pPr>
      <w:r w:rsidRPr="00A30F9E">
        <w:rPr>
          <w:i/>
          <w:sz w:val="24"/>
          <w:szCs w:val="24"/>
        </w:rPr>
        <w:t>Научная новизна и актуальность данной тематики заключается в том, что предложенное решение позволит на этапе предпроектной деятельности оценивать экологический резерв застраиваемой городской территории и прогнозировать его с учетом возрастания плотности жилой застройки населенных пунктов.</w:t>
      </w:r>
    </w:p>
    <w:p w:rsidR="00A30F9E" w:rsidRDefault="00A30F9E" w:rsidP="003957D5">
      <w:pPr>
        <w:ind w:firstLine="680"/>
        <w:rPr>
          <w:sz w:val="24"/>
          <w:szCs w:val="24"/>
        </w:rPr>
      </w:pPr>
    </w:p>
    <w:p w:rsidR="00075ECC" w:rsidRPr="00075ECC" w:rsidRDefault="00075ECC" w:rsidP="00075ECC">
      <w:pPr>
        <w:ind w:firstLine="680"/>
        <w:rPr>
          <w:i/>
          <w:sz w:val="24"/>
          <w:szCs w:val="24"/>
        </w:rPr>
      </w:pPr>
      <w:r w:rsidRPr="00075ECC">
        <w:rPr>
          <w:b/>
          <w:i/>
          <w:sz w:val="24"/>
          <w:szCs w:val="24"/>
        </w:rPr>
        <w:t xml:space="preserve">Ключевые слова: </w:t>
      </w:r>
      <w:r w:rsidRPr="00075ECC">
        <w:rPr>
          <w:i/>
          <w:sz w:val="24"/>
          <w:szCs w:val="24"/>
        </w:rPr>
        <w:t xml:space="preserve">экологическая безопасность, градостроительная деятельность, техногенная нагрузка, транспортный критерий, концентрация строительства, плотность жилой застройки, проблемы урбанизации. </w:t>
      </w:r>
    </w:p>
    <w:p w:rsidR="003779F0" w:rsidRDefault="003779F0" w:rsidP="00BD6470">
      <w:pPr>
        <w:ind w:firstLine="680"/>
        <w:rPr>
          <w:sz w:val="24"/>
          <w:szCs w:val="24"/>
        </w:rPr>
      </w:pPr>
    </w:p>
    <w:p w:rsidR="000B15EC" w:rsidRPr="00DB3419" w:rsidRDefault="00BD6470" w:rsidP="000B15EC">
      <w:pPr>
        <w:ind w:firstLine="680"/>
        <w:rPr>
          <w:sz w:val="24"/>
          <w:szCs w:val="24"/>
        </w:rPr>
      </w:pPr>
      <w:r w:rsidRPr="00DB3419">
        <w:rPr>
          <w:b/>
          <w:sz w:val="24"/>
          <w:szCs w:val="24"/>
        </w:rPr>
        <w:t xml:space="preserve">Введение. </w:t>
      </w:r>
      <w:r w:rsidR="000B15EC" w:rsidRPr="00DB3419">
        <w:rPr>
          <w:sz w:val="24"/>
          <w:szCs w:val="24"/>
        </w:rPr>
        <w:t xml:space="preserve">Право физических и юридических лиц на благоприятную среду обитания при осуществлении архитектурной, градостроительной и строительной деятельности, а также требования в области экологической безопасности </w:t>
      </w:r>
      <w:r w:rsidR="007E7603">
        <w:rPr>
          <w:sz w:val="24"/>
          <w:szCs w:val="24"/>
        </w:rPr>
        <w:t xml:space="preserve">строительства </w:t>
      </w:r>
      <w:r w:rsidR="000B15EC" w:rsidRPr="00DB3419">
        <w:rPr>
          <w:sz w:val="24"/>
          <w:szCs w:val="24"/>
        </w:rPr>
        <w:t xml:space="preserve">закреплены в </w:t>
      </w:r>
      <w:r w:rsidR="00C01513">
        <w:rPr>
          <w:sz w:val="24"/>
          <w:szCs w:val="24"/>
        </w:rPr>
        <w:t xml:space="preserve">  </w:t>
      </w:r>
      <w:r w:rsidR="000B15EC" w:rsidRPr="00DB3419">
        <w:rPr>
          <w:sz w:val="24"/>
          <w:szCs w:val="24"/>
        </w:rPr>
        <w:t>ст. ст. 4 и 5 Закона Республики Беларусь от 5.07. 2004 № 300-З «Об архитектурной, градостроительной и строительной деятельности в Республике Беларусь».</w:t>
      </w:r>
    </w:p>
    <w:p w:rsidR="000B15EC" w:rsidRPr="00DB3419" w:rsidRDefault="000B15EC" w:rsidP="000B15EC">
      <w:pPr>
        <w:ind w:firstLine="680"/>
        <w:rPr>
          <w:sz w:val="24"/>
          <w:szCs w:val="24"/>
        </w:rPr>
      </w:pPr>
      <w:r w:rsidRPr="00DB3419">
        <w:rPr>
          <w:sz w:val="24"/>
          <w:szCs w:val="24"/>
        </w:rPr>
        <w:t>Данным правовым актом закреплено положение о том, что разработка градостроительной документации и проектной документации, застройка населенных пунктов, строительство объектов, зданий и сооружений должны осуществляться с соблюдением требований законодательства в области экологической безопасности и охраны окружающей среды, рационального использования природных ресурсов</w:t>
      </w:r>
      <w:r w:rsidR="00577131">
        <w:rPr>
          <w:sz w:val="24"/>
          <w:szCs w:val="24"/>
        </w:rPr>
        <w:t xml:space="preserve"> </w:t>
      </w:r>
      <w:r w:rsidR="00577131" w:rsidRPr="00577131">
        <w:rPr>
          <w:sz w:val="24"/>
          <w:szCs w:val="24"/>
        </w:rPr>
        <w:t>[1]</w:t>
      </w:r>
      <w:r w:rsidRPr="00DB3419">
        <w:rPr>
          <w:sz w:val="24"/>
          <w:szCs w:val="24"/>
        </w:rPr>
        <w:t>.</w:t>
      </w:r>
    </w:p>
    <w:p w:rsidR="00E610D8" w:rsidRPr="00E610D8" w:rsidRDefault="00E610D8" w:rsidP="00E610D8">
      <w:pPr>
        <w:ind w:firstLine="680"/>
        <w:rPr>
          <w:sz w:val="24"/>
          <w:szCs w:val="24"/>
        </w:rPr>
      </w:pPr>
      <w:r w:rsidRPr="00E610D8">
        <w:rPr>
          <w:sz w:val="24"/>
          <w:szCs w:val="24"/>
        </w:rPr>
        <w:t>Экологическая безопасность, рассматривается как безопасная для проживания окружающая среда, которую необходимо оценивать ещё до стадии проектирования строительного объекта.</w:t>
      </w:r>
      <w:r w:rsidR="007E7603">
        <w:rPr>
          <w:sz w:val="24"/>
          <w:szCs w:val="24"/>
        </w:rPr>
        <w:t xml:space="preserve"> </w:t>
      </w:r>
      <w:r w:rsidRPr="00E610D8">
        <w:rPr>
          <w:sz w:val="24"/>
          <w:szCs w:val="24"/>
        </w:rPr>
        <w:t>Так, при разработке проектной документации на возведение, реконструкцию и реставрацию строительных объектов, в т.ч. жилой застройки, разрабатывается предпроектная (предынвестиционная) документация, включающая задание на проектирование, в котором, в части касающейся, определяются необходимость, техническая возможность, оценка воздействия на окружающую среду (в случаях и порядке, предусмотренных законодательством о государственной экологической экспертизе) [2,3</w:t>
      </w:r>
      <w:r w:rsidR="00E505BE">
        <w:rPr>
          <w:sz w:val="24"/>
          <w:szCs w:val="24"/>
        </w:rPr>
        <w:t>,4</w:t>
      </w:r>
      <w:r w:rsidRPr="00E610D8">
        <w:rPr>
          <w:sz w:val="24"/>
          <w:szCs w:val="24"/>
        </w:rPr>
        <w:t>].</w:t>
      </w:r>
    </w:p>
    <w:p w:rsidR="000B15EC" w:rsidRPr="007E7603" w:rsidRDefault="000B15EC" w:rsidP="000B15EC">
      <w:pPr>
        <w:ind w:firstLine="680"/>
        <w:rPr>
          <w:sz w:val="24"/>
          <w:szCs w:val="24"/>
        </w:rPr>
      </w:pPr>
      <w:r w:rsidRPr="007E7603">
        <w:rPr>
          <w:sz w:val="24"/>
          <w:szCs w:val="24"/>
        </w:rPr>
        <w:lastRenderedPageBreak/>
        <w:t xml:space="preserve">Для определения </w:t>
      </w:r>
      <w:r w:rsidR="00AC1E43">
        <w:rPr>
          <w:sz w:val="24"/>
          <w:szCs w:val="24"/>
        </w:rPr>
        <w:t xml:space="preserve">степени </w:t>
      </w:r>
      <w:r w:rsidRPr="007E7603">
        <w:rPr>
          <w:sz w:val="24"/>
          <w:szCs w:val="24"/>
        </w:rPr>
        <w:t>безопасности окружающей среды для оцениваемого объекта на предпроектной (либо проектной) стадии жизненного цикла строительного объекта, с точки зрения экологической безопасности учитываются показател</w:t>
      </w:r>
      <w:r w:rsidR="007202F4" w:rsidRPr="007E7603">
        <w:rPr>
          <w:sz w:val="24"/>
          <w:szCs w:val="24"/>
        </w:rPr>
        <w:t>и</w:t>
      </w:r>
      <w:r w:rsidRPr="007E7603">
        <w:rPr>
          <w:sz w:val="24"/>
          <w:szCs w:val="24"/>
        </w:rPr>
        <w:t xml:space="preserve"> </w:t>
      </w:r>
      <w:r w:rsidR="007202F4" w:rsidRPr="007E7603">
        <w:rPr>
          <w:sz w:val="24"/>
          <w:szCs w:val="24"/>
        </w:rPr>
        <w:t>экологического фона территории застройки, экологического резерва территории и с</w:t>
      </w:r>
      <w:r w:rsidRPr="007E7603">
        <w:rPr>
          <w:sz w:val="24"/>
          <w:szCs w:val="24"/>
        </w:rPr>
        <w:t>тепен</w:t>
      </w:r>
      <w:r w:rsidR="007202F4" w:rsidRPr="007E7603">
        <w:rPr>
          <w:sz w:val="24"/>
          <w:szCs w:val="24"/>
        </w:rPr>
        <w:t>и</w:t>
      </w:r>
      <w:r w:rsidRPr="007E7603">
        <w:rPr>
          <w:sz w:val="24"/>
          <w:szCs w:val="24"/>
        </w:rPr>
        <w:t xml:space="preserve"> концентрации строительства административной и селитебной территории застройки.</w:t>
      </w:r>
    </w:p>
    <w:p w:rsidR="004E3EAD" w:rsidRPr="004E3EAD" w:rsidRDefault="000B15EC" w:rsidP="000B15EC">
      <w:pPr>
        <w:ind w:firstLine="680"/>
        <w:rPr>
          <w:sz w:val="24"/>
          <w:szCs w:val="24"/>
        </w:rPr>
      </w:pPr>
      <w:r w:rsidRPr="004E3EAD">
        <w:rPr>
          <w:sz w:val="24"/>
          <w:szCs w:val="24"/>
        </w:rPr>
        <w:t>Экологический фон территории определяется по доступным источникам (например, данные ГУ «Гродненский областной центр по гидрометеорологии и мониторингу окружающей среды») или измеряется с помощью специальных приборов. Оценке и измерению подлежат показатели качества атмосферного воздуха, воды и почвы</w:t>
      </w:r>
      <w:r w:rsidR="004E3EAD" w:rsidRPr="004E3EAD">
        <w:rPr>
          <w:sz w:val="24"/>
          <w:szCs w:val="24"/>
        </w:rPr>
        <w:t xml:space="preserve"> </w:t>
      </w:r>
      <w:r w:rsidR="000A7E09" w:rsidRPr="00AC1E43">
        <w:rPr>
          <w:sz w:val="24"/>
          <w:szCs w:val="24"/>
        </w:rPr>
        <w:t>[</w:t>
      </w:r>
      <w:r w:rsidR="00BB1521">
        <w:rPr>
          <w:sz w:val="24"/>
          <w:szCs w:val="24"/>
        </w:rPr>
        <w:t>5,6</w:t>
      </w:r>
      <w:r w:rsidR="000A7E09" w:rsidRPr="00AC1E43">
        <w:rPr>
          <w:sz w:val="24"/>
          <w:szCs w:val="24"/>
        </w:rPr>
        <w:t>]</w:t>
      </w:r>
      <w:r w:rsidR="000A7E09">
        <w:rPr>
          <w:sz w:val="24"/>
          <w:szCs w:val="24"/>
        </w:rPr>
        <w:t>.</w:t>
      </w:r>
    </w:p>
    <w:p w:rsidR="000B15EC" w:rsidRPr="00AC1E43" w:rsidRDefault="000B15EC" w:rsidP="000B15EC">
      <w:pPr>
        <w:ind w:firstLine="680"/>
        <w:rPr>
          <w:sz w:val="20"/>
          <w:szCs w:val="20"/>
        </w:rPr>
      </w:pPr>
      <w:r w:rsidRPr="00AC1E43">
        <w:rPr>
          <w:sz w:val="24"/>
          <w:szCs w:val="24"/>
        </w:rPr>
        <w:t>Если экологический фон территории в зоне застройки не превышает предельно-допустимых значений</w:t>
      </w:r>
      <w:r w:rsidR="007F2CB4" w:rsidRPr="00AC1E43">
        <w:rPr>
          <w:sz w:val="24"/>
          <w:szCs w:val="24"/>
        </w:rPr>
        <w:t xml:space="preserve"> (ПДК)</w:t>
      </w:r>
      <w:r w:rsidRPr="00AC1E43">
        <w:rPr>
          <w:sz w:val="24"/>
          <w:szCs w:val="24"/>
        </w:rPr>
        <w:t>, значит, имеется экологический резерв территории</w:t>
      </w:r>
      <w:r w:rsidR="007B75D4" w:rsidRPr="00AC1E43">
        <w:rPr>
          <w:sz w:val="24"/>
          <w:szCs w:val="24"/>
        </w:rPr>
        <w:t xml:space="preserve"> </w:t>
      </w:r>
      <w:r w:rsidR="00AC1E43" w:rsidRPr="00AC1E43">
        <w:rPr>
          <w:sz w:val="24"/>
          <w:szCs w:val="24"/>
        </w:rPr>
        <w:t>(</w:t>
      </w:r>
      <w:r w:rsidR="007B75D4" w:rsidRPr="00AC1E43">
        <w:rPr>
          <w:sz w:val="24"/>
          <w:szCs w:val="24"/>
        </w:rPr>
        <w:t>ЭР)</w:t>
      </w:r>
      <w:r w:rsidRPr="00AC1E43">
        <w:rPr>
          <w:sz w:val="24"/>
          <w:szCs w:val="24"/>
        </w:rPr>
        <w:t>. Величина экологического резерва территории в определённый период времени, равна разнице между ПДК и экологическим фоном. Измеряется в единицах ПДК</w:t>
      </w:r>
      <w:r w:rsidR="007E5737">
        <w:rPr>
          <w:sz w:val="24"/>
          <w:szCs w:val="24"/>
          <w:lang w:val="en-US"/>
        </w:rPr>
        <w:t xml:space="preserve"> [7]</w:t>
      </w:r>
      <w:r w:rsidR="00AC1E43">
        <w:rPr>
          <w:sz w:val="20"/>
          <w:szCs w:val="20"/>
        </w:rPr>
        <w:t>.</w:t>
      </w:r>
      <w:r w:rsidRPr="00AC1E43">
        <w:rPr>
          <w:sz w:val="20"/>
          <w:szCs w:val="20"/>
        </w:rPr>
        <w:t xml:space="preserve">    </w:t>
      </w:r>
    </w:p>
    <w:p w:rsidR="000B15EC" w:rsidRPr="00AC1E43" w:rsidRDefault="000B15EC" w:rsidP="000B15EC">
      <w:pPr>
        <w:ind w:firstLine="680"/>
        <w:rPr>
          <w:sz w:val="24"/>
          <w:szCs w:val="24"/>
        </w:rPr>
      </w:pPr>
      <w:r w:rsidRPr="00AC1E43">
        <w:rPr>
          <w:sz w:val="24"/>
          <w:szCs w:val="24"/>
        </w:rPr>
        <w:t xml:space="preserve">Если величина </w:t>
      </w:r>
      <w:r w:rsidR="00722DE0" w:rsidRPr="00AC1E43">
        <w:rPr>
          <w:sz w:val="24"/>
          <w:szCs w:val="24"/>
        </w:rPr>
        <w:t>ЭР ≤ 0</w:t>
      </w:r>
      <w:r w:rsidRPr="00AC1E43">
        <w:rPr>
          <w:sz w:val="24"/>
          <w:szCs w:val="24"/>
        </w:rPr>
        <w:t>, то строительство в данном месте не целесообразно, из-за неблагоприятной экологической обстановки. Если экологический резерв существует (</w:t>
      </w:r>
      <w:r w:rsidR="00722DE0" w:rsidRPr="00AC1E43">
        <w:rPr>
          <w:sz w:val="24"/>
          <w:szCs w:val="24"/>
        </w:rPr>
        <w:t>ЭР &gt; 0</w:t>
      </w:r>
      <w:r w:rsidRPr="00AC1E43">
        <w:rPr>
          <w:sz w:val="24"/>
          <w:szCs w:val="24"/>
        </w:rPr>
        <w:t xml:space="preserve">) – строительство возможно, но для более точного определения возможности строительства необходимо оценить техногенную нагрузку (ТН) на территорию,  которую </w:t>
      </w:r>
      <w:r w:rsidR="00AC1E43" w:rsidRPr="00AC1E43">
        <w:rPr>
          <w:sz w:val="24"/>
          <w:szCs w:val="24"/>
        </w:rPr>
        <w:t>окажет</w:t>
      </w:r>
      <w:r w:rsidRPr="00AC1E43">
        <w:rPr>
          <w:sz w:val="24"/>
          <w:szCs w:val="24"/>
        </w:rPr>
        <w:t xml:space="preserve"> планируемый объе</w:t>
      </w:r>
      <w:proofErr w:type="gramStart"/>
      <w:r w:rsidRPr="00AC1E43">
        <w:rPr>
          <w:sz w:val="24"/>
          <w:szCs w:val="24"/>
        </w:rPr>
        <w:t>кт стр</w:t>
      </w:r>
      <w:proofErr w:type="gramEnd"/>
      <w:r w:rsidRPr="00AC1E43">
        <w:rPr>
          <w:sz w:val="24"/>
          <w:szCs w:val="24"/>
        </w:rPr>
        <w:t xml:space="preserve">оительства. Сумма экологического фона и техногенной нагрузки от объекта не должна превышать ПДК: ЭФ + ТН ≤ ПДК.  </w:t>
      </w:r>
    </w:p>
    <w:p w:rsidR="000B15EC" w:rsidRDefault="000B15EC" w:rsidP="000B15EC">
      <w:pPr>
        <w:ind w:firstLine="680"/>
        <w:rPr>
          <w:sz w:val="24"/>
          <w:szCs w:val="24"/>
        </w:rPr>
      </w:pPr>
      <w:r w:rsidRPr="00AC1E43">
        <w:rPr>
          <w:sz w:val="24"/>
          <w:szCs w:val="24"/>
        </w:rPr>
        <w:t>Третий показатель качества окружающей среды, оцениваемый на предпроектной стадии строительства, это показатель степени концентрации строительства (иначе, показатель плотности жилой застройки), который в совокупности с экологическим фоном территории и экологическим резервом должен являться определяющим при оценке возможности нового строительства  на оцениваемой территории</w:t>
      </w:r>
      <w:r w:rsidR="008212EA">
        <w:rPr>
          <w:sz w:val="24"/>
          <w:szCs w:val="24"/>
        </w:rPr>
        <w:t xml:space="preserve"> [</w:t>
      </w:r>
      <w:r w:rsidR="00410AA7">
        <w:rPr>
          <w:sz w:val="24"/>
          <w:szCs w:val="24"/>
        </w:rPr>
        <w:t>8</w:t>
      </w:r>
      <w:r w:rsidR="008212EA" w:rsidRPr="008212EA">
        <w:rPr>
          <w:sz w:val="24"/>
          <w:szCs w:val="24"/>
        </w:rPr>
        <w:t>]</w:t>
      </w:r>
      <w:r w:rsidRPr="00AC1E43">
        <w:rPr>
          <w:sz w:val="24"/>
          <w:szCs w:val="24"/>
        </w:rPr>
        <w:t>.</w:t>
      </w:r>
    </w:p>
    <w:p w:rsidR="00BE6A6B" w:rsidRDefault="00027CA0" w:rsidP="00027CA0">
      <w:pPr>
        <w:ind w:firstLine="680"/>
        <w:rPr>
          <w:sz w:val="24"/>
          <w:szCs w:val="24"/>
        </w:rPr>
      </w:pPr>
      <w:r>
        <w:rPr>
          <w:sz w:val="24"/>
          <w:szCs w:val="24"/>
        </w:rPr>
        <w:t>С</w:t>
      </w:r>
      <w:r w:rsidRPr="00027CA0">
        <w:rPr>
          <w:sz w:val="24"/>
          <w:szCs w:val="24"/>
        </w:rPr>
        <w:t xml:space="preserve">отрудниками Национального исследовательского университета - Московского государственного строительного университета (НИУ МГСУ) для расчета показателей степени концентрации строительства </w:t>
      </w:r>
      <w:r>
        <w:rPr>
          <w:sz w:val="24"/>
          <w:szCs w:val="24"/>
        </w:rPr>
        <w:t>(</w:t>
      </w:r>
      <w:r w:rsidRPr="00B6082B">
        <w:rPr>
          <w:b/>
          <w:sz w:val="24"/>
          <w:szCs w:val="24"/>
          <w:lang w:val="en-US"/>
        </w:rPr>
        <w:t>K</w:t>
      </w:r>
      <w:proofErr w:type="spellStart"/>
      <w:r w:rsidRPr="00027CA0"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предложена математическая модель,</w:t>
      </w:r>
      <w:r w:rsidRPr="00027CA0">
        <w:rPr>
          <w:sz w:val="24"/>
          <w:szCs w:val="24"/>
        </w:rPr>
        <w:t xml:space="preserve"> </w:t>
      </w:r>
      <w:r w:rsidRPr="00B6082B">
        <w:rPr>
          <w:sz w:val="24"/>
          <w:szCs w:val="24"/>
        </w:rPr>
        <w:t>выраж</w:t>
      </w:r>
      <w:r>
        <w:rPr>
          <w:sz w:val="24"/>
          <w:szCs w:val="24"/>
        </w:rPr>
        <w:t>енная</w:t>
      </w:r>
      <w:r w:rsidRPr="00B6082B">
        <w:rPr>
          <w:sz w:val="24"/>
          <w:szCs w:val="24"/>
        </w:rPr>
        <w:t xml:space="preserve"> формул</w:t>
      </w:r>
      <w:r>
        <w:rPr>
          <w:sz w:val="24"/>
          <w:szCs w:val="24"/>
        </w:rPr>
        <w:t>ой:</w:t>
      </w:r>
    </w:p>
    <w:p w:rsidR="00BE6A6B" w:rsidRDefault="00BE6A6B" w:rsidP="00BE6A6B">
      <w:pPr>
        <w:ind w:left="2124" w:firstLine="708"/>
        <w:rPr>
          <w:sz w:val="24"/>
          <w:szCs w:val="24"/>
        </w:rPr>
      </w:pPr>
      <w:proofErr w:type="spellStart"/>
      <w:proofErr w:type="gramStart"/>
      <w:r w:rsidRPr="00B6082B">
        <w:rPr>
          <w:b/>
          <w:sz w:val="24"/>
          <w:szCs w:val="24"/>
          <w:lang w:val="en-US"/>
        </w:rPr>
        <w:t>k</w:t>
      </w:r>
      <w:r w:rsidRPr="00B6082B">
        <w:rPr>
          <w:b/>
          <w:sz w:val="24"/>
          <w:szCs w:val="24"/>
          <w:vertAlign w:val="subscript"/>
          <w:lang w:val="en-US"/>
        </w:rPr>
        <w:t>sk</w:t>
      </w:r>
      <w:proofErr w:type="spellEnd"/>
      <w:r w:rsidRPr="006D582A">
        <w:rPr>
          <w:sz w:val="24"/>
          <w:szCs w:val="24"/>
        </w:rPr>
        <w:t xml:space="preserve">  =</w:t>
      </w:r>
      <w:proofErr w:type="gramEnd"/>
      <w:r w:rsidRPr="006D582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Nsk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den>
        </m:f>
      </m:oMath>
      <w:r w:rsidRPr="006D582A">
        <w:rPr>
          <w:sz w:val="24"/>
          <w:szCs w:val="24"/>
        </w:rPr>
        <w:t xml:space="preserve"> ,   </w:t>
      </w:r>
    </w:p>
    <w:p w:rsidR="00BE6A6B" w:rsidRPr="00D94528" w:rsidRDefault="00BE6A6B" w:rsidP="00BE6A6B">
      <w:pPr>
        <w:ind w:left="2124" w:firstLine="708"/>
        <w:rPr>
          <w:sz w:val="24"/>
          <w:szCs w:val="24"/>
        </w:rPr>
      </w:pPr>
    </w:p>
    <w:p w:rsidR="00BE6A6B" w:rsidRPr="00B6082B" w:rsidRDefault="00BE6A6B" w:rsidP="00BE6A6B">
      <w:pPr>
        <w:ind w:firstLine="680"/>
        <w:rPr>
          <w:sz w:val="24"/>
          <w:szCs w:val="24"/>
        </w:rPr>
      </w:pPr>
      <w:r>
        <w:rPr>
          <w:sz w:val="24"/>
          <w:szCs w:val="24"/>
        </w:rPr>
        <w:t>г</w:t>
      </w:r>
      <w:r w:rsidRPr="00B6082B">
        <w:rPr>
          <w:sz w:val="24"/>
          <w:szCs w:val="24"/>
        </w:rPr>
        <w:t xml:space="preserve">де </w:t>
      </w:r>
      <w:proofErr w:type="spellStart"/>
      <w:r w:rsidRPr="00B6082B">
        <w:rPr>
          <w:b/>
          <w:sz w:val="24"/>
          <w:szCs w:val="24"/>
        </w:rPr>
        <w:t>N</w:t>
      </w:r>
      <w:r w:rsidRPr="00B6082B">
        <w:rPr>
          <w:sz w:val="24"/>
          <w:szCs w:val="24"/>
        </w:rPr>
        <w:t>sk</w:t>
      </w:r>
      <w:proofErr w:type="spellEnd"/>
      <w:r w:rsidRPr="00B6082B">
        <w:rPr>
          <w:sz w:val="24"/>
          <w:szCs w:val="24"/>
        </w:rPr>
        <w:t xml:space="preserve"> – максимальное количество автомобилей, одновременно нуждающееся в парковочных местах (штук), </w:t>
      </w:r>
      <w:proofErr w:type="spellStart"/>
      <w:r w:rsidRPr="00B6082B">
        <w:rPr>
          <w:b/>
          <w:sz w:val="24"/>
          <w:szCs w:val="24"/>
        </w:rPr>
        <w:t>Mmax</w:t>
      </w:r>
      <w:proofErr w:type="spellEnd"/>
      <w:r w:rsidRPr="00B6082B">
        <w:rPr>
          <w:sz w:val="24"/>
          <w:szCs w:val="24"/>
        </w:rPr>
        <w:t xml:space="preserve"> - парковочные места для личных автомобилей жителей территории или предприятий, размещённых на ней. Максимальное значение числа парковочных мест на территории: </w:t>
      </w:r>
      <w:proofErr w:type="gramStart"/>
      <w:r w:rsidRPr="00B6082B">
        <w:rPr>
          <w:b/>
          <w:sz w:val="24"/>
          <w:szCs w:val="24"/>
        </w:rPr>
        <w:t>М</w:t>
      </w:r>
      <w:proofErr w:type="gramEnd"/>
      <w:r w:rsidRPr="00B6082B">
        <w:rPr>
          <w:b/>
          <w:sz w:val="24"/>
          <w:szCs w:val="24"/>
          <w:lang w:val="en-US"/>
        </w:rPr>
        <w:t>max</w:t>
      </w:r>
      <w:r w:rsidRPr="00B6082B">
        <w:rPr>
          <w:b/>
          <w:i/>
          <w:sz w:val="24"/>
          <w:szCs w:val="24"/>
        </w:rPr>
        <w:t xml:space="preserve"> </w:t>
      </w:r>
      <w:r w:rsidRPr="00B6082B">
        <w:rPr>
          <w:sz w:val="24"/>
          <w:szCs w:val="24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i</m:t>
            </m:r>
          </m:e>
        </m:nary>
      </m:oMath>
      <w:r w:rsidRPr="00B6082B">
        <w:rPr>
          <w:b/>
          <w:sz w:val="24"/>
          <w:szCs w:val="24"/>
        </w:rPr>
        <w:t xml:space="preserve"> </w:t>
      </w:r>
      <w:r w:rsidRPr="00B6082B">
        <w:rPr>
          <w:b/>
          <w:i/>
          <w:sz w:val="24"/>
          <w:szCs w:val="24"/>
        </w:rPr>
        <w:t xml:space="preserve"> </w:t>
      </w:r>
      <w:r w:rsidRPr="00B6082B">
        <w:rPr>
          <w:b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,</m:t>
        </m:r>
      </m:oMath>
      <w:r w:rsidRPr="00B6082B">
        <w:rPr>
          <w:b/>
          <w:sz w:val="24"/>
          <w:szCs w:val="24"/>
        </w:rPr>
        <w:t xml:space="preserve"> </w:t>
      </w:r>
      <w:r w:rsidRPr="00B6082B">
        <w:rPr>
          <w:sz w:val="24"/>
          <w:szCs w:val="24"/>
        </w:rPr>
        <w:t>где:</w:t>
      </w:r>
    </w:p>
    <w:p w:rsidR="00BE6A6B" w:rsidRPr="00B6082B" w:rsidRDefault="00BE6A6B" w:rsidP="00BE6A6B">
      <w:pPr>
        <w:ind w:firstLine="680"/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A</m:t>
        </m:r>
        <m:r>
          <m:rPr>
            <m:sty m:val="b"/>
          </m:rPr>
          <w:rPr>
            <w:rFonts w:ascii="Cambria Math" w:hAnsi="Cambria Math"/>
            <w:sz w:val="24"/>
            <w:szCs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</m:t>
        </m:r>
      </m:oMath>
      <w:r w:rsidRPr="00B6082B">
        <w:rPr>
          <w:b/>
          <w:sz w:val="24"/>
          <w:szCs w:val="24"/>
          <w:vertAlign w:val="subscript"/>
        </w:rPr>
        <w:t xml:space="preserve"> </w:t>
      </w:r>
      <w:r w:rsidRPr="00B6082B">
        <w:rPr>
          <w:b/>
          <w:sz w:val="24"/>
          <w:szCs w:val="24"/>
        </w:rPr>
        <w:t>-</w:t>
      </w:r>
      <w:r w:rsidRPr="00B6082B">
        <w:rPr>
          <w:sz w:val="24"/>
          <w:szCs w:val="24"/>
        </w:rPr>
        <w:t xml:space="preserve"> число мест на  </w:t>
      </w:r>
      <w:r w:rsidRPr="00B6082B">
        <w:rPr>
          <w:b/>
          <w:i/>
          <w:sz w:val="24"/>
          <w:szCs w:val="24"/>
          <w:lang w:val="en-US"/>
        </w:rPr>
        <w:t>i</w:t>
      </w:r>
      <w:r w:rsidRPr="00B6082B">
        <w:rPr>
          <w:sz w:val="24"/>
          <w:szCs w:val="24"/>
        </w:rPr>
        <w:t xml:space="preserve"> – й организованной парковке, автостоянке (штук);</w:t>
      </w:r>
    </w:p>
    <w:p w:rsidR="00BE6A6B" w:rsidRPr="00B6082B" w:rsidRDefault="00BE6A6B" w:rsidP="00BE6A6B">
      <w:pPr>
        <w:ind w:firstLine="680"/>
        <w:rPr>
          <w:sz w:val="24"/>
          <w:szCs w:val="24"/>
          <w:vertAlign w:val="subscript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B6082B">
        <w:rPr>
          <w:b/>
          <w:i/>
          <w:sz w:val="24"/>
          <w:szCs w:val="24"/>
        </w:rPr>
        <w:t xml:space="preserve"> </w:t>
      </w:r>
      <w:r w:rsidRPr="00B6082B">
        <w:rPr>
          <w:b/>
          <w:sz w:val="24"/>
          <w:szCs w:val="24"/>
        </w:rPr>
        <w:t>-</w:t>
      </w:r>
      <w:r w:rsidRPr="00B6082B">
        <w:rPr>
          <w:sz w:val="24"/>
          <w:szCs w:val="24"/>
        </w:rPr>
        <w:t xml:space="preserve"> длина внутриквартальных проездов и дорог, пригодных для  парковки (метров);</w:t>
      </w:r>
    </w:p>
    <w:p w:rsidR="00BE6A6B" w:rsidRPr="00B6082B" w:rsidRDefault="00BE6A6B" w:rsidP="00D2777D">
      <w:pPr>
        <w:ind w:firstLine="680"/>
        <w:rPr>
          <w:sz w:val="24"/>
          <w:szCs w:val="24"/>
          <w:vertAlign w:val="subscript"/>
        </w:rPr>
      </w:pPr>
      <w:r w:rsidRPr="00B6082B">
        <w:rPr>
          <w:b/>
          <w:i/>
          <w:sz w:val="24"/>
          <w:szCs w:val="24"/>
          <w:lang w:val="en-US"/>
        </w:rPr>
        <w:t>l</w:t>
      </w:r>
      <w:r w:rsidRPr="00B6082B">
        <w:rPr>
          <w:b/>
          <w:i/>
          <w:sz w:val="24"/>
          <w:szCs w:val="24"/>
        </w:rPr>
        <w:t xml:space="preserve"> </w:t>
      </w:r>
      <w:r w:rsidRPr="00B6082B">
        <w:rPr>
          <w:b/>
          <w:sz w:val="24"/>
          <w:szCs w:val="24"/>
        </w:rPr>
        <w:t>-</w:t>
      </w:r>
      <w:r w:rsidRPr="00B6082B">
        <w:rPr>
          <w:b/>
          <w:i/>
          <w:sz w:val="24"/>
          <w:szCs w:val="24"/>
        </w:rPr>
        <w:t xml:space="preserve"> </w:t>
      </w:r>
      <w:proofErr w:type="gramStart"/>
      <w:r w:rsidRPr="00B6082B">
        <w:rPr>
          <w:sz w:val="24"/>
          <w:szCs w:val="24"/>
        </w:rPr>
        <w:t>размер</w:t>
      </w:r>
      <w:proofErr w:type="gramEnd"/>
      <w:r w:rsidRPr="00B6082B">
        <w:rPr>
          <w:sz w:val="24"/>
          <w:szCs w:val="24"/>
        </w:rPr>
        <w:t xml:space="preserve"> одного машиноместа на автопарковках (5,5 метра).</w:t>
      </w:r>
    </w:p>
    <w:p w:rsidR="00BE6A6B" w:rsidRPr="00B6082B" w:rsidRDefault="00BE6A6B" w:rsidP="00D2777D">
      <w:pPr>
        <w:ind w:firstLine="680"/>
        <w:rPr>
          <w:sz w:val="24"/>
          <w:szCs w:val="24"/>
        </w:rPr>
      </w:pPr>
      <w:r w:rsidRPr="00B6082B">
        <w:rPr>
          <w:sz w:val="24"/>
          <w:szCs w:val="24"/>
        </w:rPr>
        <w:t xml:space="preserve">При определении </w:t>
      </w:r>
      <w:proofErr w:type="spellStart"/>
      <w:r w:rsidRPr="00B6082B">
        <w:rPr>
          <w:b/>
          <w:sz w:val="24"/>
          <w:szCs w:val="24"/>
        </w:rPr>
        <w:t>Nsk</w:t>
      </w:r>
      <w:proofErr w:type="spellEnd"/>
      <w:r w:rsidRPr="00B6082B">
        <w:rPr>
          <w:sz w:val="24"/>
          <w:szCs w:val="24"/>
        </w:rPr>
        <w:t xml:space="preserve"> для жилых районов, считается максимальная потребность в парковочных местах, в качестве критерия расчёта принимается численность жителей: </w:t>
      </w:r>
      <w:r w:rsidR="00D2777D">
        <w:rPr>
          <w:sz w:val="24"/>
          <w:szCs w:val="24"/>
        </w:rPr>
        <w:t xml:space="preserve">  </w:t>
      </w:r>
      <w:r w:rsidRPr="00B6082B">
        <w:rPr>
          <w:sz w:val="24"/>
          <w:szCs w:val="24"/>
        </w:rPr>
        <w:t xml:space="preserve">       </w:t>
      </w:r>
      <w:proofErr w:type="spellStart"/>
      <w:r w:rsidRPr="00B6082B">
        <w:rPr>
          <w:b/>
          <w:sz w:val="24"/>
          <w:szCs w:val="24"/>
        </w:rPr>
        <w:t>Nl</w:t>
      </w:r>
      <w:proofErr w:type="spellEnd"/>
      <w:r w:rsidRPr="00B6082B">
        <w:rPr>
          <w:b/>
          <w:sz w:val="24"/>
          <w:szCs w:val="24"/>
        </w:rPr>
        <w:t xml:space="preserve"> = </w:t>
      </w:r>
      <w:proofErr w:type="spellStart"/>
      <w:r w:rsidRPr="00B6082B">
        <w:rPr>
          <w:b/>
          <w:sz w:val="24"/>
          <w:szCs w:val="24"/>
        </w:rPr>
        <w:t>QlKl</w:t>
      </w:r>
      <w:proofErr w:type="spellEnd"/>
      <w:r w:rsidRPr="00B6082B">
        <w:rPr>
          <w:sz w:val="24"/>
          <w:szCs w:val="24"/>
        </w:rPr>
        <w:t xml:space="preserve"> , где </w:t>
      </w:r>
      <w:proofErr w:type="spellStart"/>
      <w:r w:rsidRPr="00B6082B">
        <w:rPr>
          <w:b/>
          <w:sz w:val="24"/>
          <w:szCs w:val="24"/>
        </w:rPr>
        <w:t>Ql</w:t>
      </w:r>
      <w:proofErr w:type="spellEnd"/>
      <w:r w:rsidRPr="00B6082B">
        <w:rPr>
          <w:sz w:val="24"/>
          <w:szCs w:val="24"/>
        </w:rPr>
        <w:t xml:space="preserve">  - численность населения территории. </w:t>
      </w:r>
      <w:proofErr w:type="spellStart"/>
      <w:r w:rsidRPr="00B6082B">
        <w:rPr>
          <w:b/>
          <w:sz w:val="24"/>
          <w:szCs w:val="24"/>
        </w:rPr>
        <w:t>Kl</w:t>
      </w:r>
      <w:proofErr w:type="spellEnd"/>
      <w:r w:rsidRPr="00B6082B">
        <w:rPr>
          <w:b/>
          <w:sz w:val="24"/>
          <w:szCs w:val="24"/>
        </w:rPr>
        <w:t xml:space="preserve"> - </w:t>
      </w:r>
      <w:r w:rsidRPr="00D2777D">
        <w:rPr>
          <w:sz w:val="24"/>
          <w:szCs w:val="24"/>
        </w:rPr>
        <w:t>к</w:t>
      </w:r>
      <w:r w:rsidRPr="00B6082B">
        <w:rPr>
          <w:sz w:val="24"/>
          <w:szCs w:val="24"/>
        </w:rPr>
        <w:t xml:space="preserve">оэффициент  учитывающий количество личного автотранспорта, равен </w:t>
      </w:r>
      <w:proofErr w:type="spellStart"/>
      <w:r w:rsidRPr="00B6082B">
        <w:rPr>
          <w:b/>
          <w:sz w:val="24"/>
          <w:szCs w:val="24"/>
        </w:rPr>
        <w:t>Kl</w:t>
      </w:r>
      <w:proofErr w:type="spellEnd"/>
      <w:r w:rsidRPr="00B6082B">
        <w:rPr>
          <w:sz w:val="24"/>
          <w:szCs w:val="24"/>
        </w:rPr>
        <w:t xml:space="preserve"> = </w:t>
      </w:r>
      <w:r w:rsidRPr="00B6082B">
        <w:rPr>
          <w:b/>
          <w:sz w:val="24"/>
          <w:szCs w:val="24"/>
        </w:rPr>
        <w:t>N</w:t>
      </w:r>
      <w:r w:rsidRPr="00B6082B">
        <w:rPr>
          <w:sz w:val="24"/>
          <w:szCs w:val="24"/>
        </w:rPr>
        <w:t xml:space="preserve">/1000, где </w:t>
      </w:r>
      <w:r w:rsidRPr="00B6082B">
        <w:rPr>
          <w:b/>
          <w:sz w:val="24"/>
          <w:szCs w:val="24"/>
        </w:rPr>
        <w:t>N</w:t>
      </w:r>
      <w:r w:rsidRPr="00B6082B">
        <w:rPr>
          <w:sz w:val="24"/>
          <w:szCs w:val="24"/>
        </w:rPr>
        <w:t xml:space="preserve"> -  количество автомобилей на 1000 жителей.</w:t>
      </w:r>
    </w:p>
    <w:p w:rsidR="00D2777D" w:rsidRPr="00D2777D" w:rsidRDefault="00D2777D" w:rsidP="00D2777D">
      <w:pPr>
        <w:ind w:firstLine="680"/>
        <w:rPr>
          <w:sz w:val="24"/>
          <w:szCs w:val="24"/>
        </w:rPr>
      </w:pPr>
      <w:r w:rsidRPr="00D2777D">
        <w:rPr>
          <w:sz w:val="24"/>
          <w:szCs w:val="24"/>
        </w:rPr>
        <w:t xml:space="preserve">Расчёт коэффициента </w:t>
      </w:r>
      <w:proofErr w:type="spellStart"/>
      <w:r w:rsidRPr="00D2777D">
        <w:rPr>
          <w:b/>
          <w:sz w:val="24"/>
          <w:szCs w:val="24"/>
        </w:rPr>
        <w:t>Ksk</w:t>
      </w:r>
      <w:proofErr w:type="spellEnd"/>
      <w:r w:rsidRPr="00D2777D">
        <w:rPr>
          <w:sz w:val="24"/>
          <w:szCs w:val="24"/>
        </w:rPr>
        <w:t xml:space="preserve"> позволяет определить потребность территории в парковочных местах, позволяет определить целесообразность строительства нового объекта, если </w:t>
      </w:r>
      <w:proofErr w:type="spellStart"/>
      <w:r w:rsidRPr="00D2777D">
        <w:rPr>
          <w:b/>
          <w:sz w:val="24"/>
          <w:szCs w:val="24"/>
        </w:rPr>
        <w:t>Ksk</w:t>
      </w:r>
      <w:proofErr w:type="spellEnd"/>
      <w:r w:rsidRPr="00D2777D">
        <w:rPr>
          <w:sz w:val="24"/>
          <w:szCs w:val="24"/>
        </w:rPr>
        <w:t xml:space="preserve"> не превышает 1 и близок к ней. Так как любая дополнительная транспортная нагрузка на территорию, связанная с новым строительством, если не учтены в полной мере проблемы связанные с автотранспортом, может привести к перегрузке территории транспортом со всеми вытекающими последствиями, в том числе и экологическими.</w:t>
      </w:r>
    </w:p>
    <w:p w:rsidR="00D2777D" w:rsidRPr="00D2777D" w:rsidRDefault="00D2777D" w:rsidP="00BE6A6B">
      <w:pPr>
        <w:ind w:firstLine="680"/>
        <w:rPr>
          <w:sz w:val="24"/>
          <w:szCs w:val="24"/>
          <w:u w:val="single"/>
        </w:rPr>
      </w:pPr>
      <w:r w:rsidRPr="00D2777D">
        <w:rPr>
          <w:sz w:val="24"/>
          <w:szCs w:val="24"/>
        </w:rPr>
        <w:t xml:space="preserve">Расчёт коэффициента концентрации строительства, оценка техногенного воздействия строительства, мониторинг экологической обстановки в районе строительства должны </w:t>
      </w:r>
      <w:r w:rsidRPr="00D2777D">
        <w:rPr>
          <w:sz w:val="24"/>
          <w:szCs w:val="24"/>
        </w:rPr>
        <w:lastRenderedPageBreak/>
        <w:t>являться основными критериями системы оценки экологической безопасности строительства</w:t>
      </w:r>
      <w:r>
        <w:rPr>
          <w:sz w:val="24"/>
          <w:szCs w:val="24"/>
        </w:rPr>
        <w:t xml:space="preserve"> </w:t>
      </w:r>
      <w:r w:rsidRPr="00D2777D">
        <w:rPr>
          <w:sz w:val="24"/>
          <w:szCs w:val="24"/>
        </w:rPr>
        <w:t>[</w:t>
      </w:r>
      <w:r w:rsidR="00BB1521">
        <w:rPr>
          <w:sz w:val="24"/>
          <w:szCs w:val="24"/>
        </w:rPr>
        <w:t>9</w:t>
      </w:r>
      <w:r w:rsidRPr="00D2777D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0B15EC" w:rsidRPr="008927A1" w:rsidRDefault="00AB1593" w:rsidP="000B15EC">
      <w:pPr>
        <w:ind w:firstLine="680"/>
        <w:rPr>
          <w:sz w:val="24"/>
          <w:szCs w:val="24"/>
        </w:rPr>
      </w:pPr>
      <w:r>
        <w:rPr>
          <w:b/>
          <w:sz w:val="24"/>
          <w:szCs w:val="24"/>
        </w:rPr>
        <w:t xml:space="preserve">Методика проведения </w:t>
      </w:r>
      <w:r w:rsidR="007F2CB4" w:rsidRPr="008927A1">
        <w:rPr>
          <w:b/>
          <w:sz w:val="24"/>
          <w:szCs w:val="24"/>
        </w:rPr>
        <w:t xml:space="preserve">исследований. </w:t>
      </w:r>
      <w:r w:rsidR="001014E5">
        <w:rPr>
          <w:sz w:val="24"/>
          <w:szCs w:val="24"/>
        </w:rPr>
        <w:t>Д</w:t>
      </w:r>
      <w:r w:rsidR="000B15EC" w:rsidRPr="008927A1">
        <w:rPr>
          <w:sz w:val="24"/>
          <w:szCs w:val="24"/>
        </w:rPr>
        <w:t>ля крупных городов с каждым годом становится актуальной проблема высокой концентрации строительства, связанная, прежде всего, с высокой плотностью жилой застройки.</w:t>
      </w:r>
    </w:p>
    <w:p w:rsidR="000B15EC" w:rsidRPr="008927A1" w:rsidRDefault="00FF5763" w:rsidP="000B15EC">
      <w:pPr>
        <w:ind w:firstLine="680"/>
        <w:rPr>
          <w:sz w:val="24"/>
          <w:szCs w:val="24"/>
        </w:rPr>
      </w:pPr>
      <w:r w:rsidRPr="008927A1">
        <w:rPr>
          <w:sz w:val="24"/>
          <w:szCs w:val="24"/>
        </w:rPr>
        <w:t>В свою очередь, п</w:t>
      </w:r>
      <w:r w:rsidR="000B15EC" w:rsidRPr="008927A1">
        <w:rPr>
          <w:sz w:val="24"/>
          <w:szCs w:val="24"/>
        </w:rPr>
        <w:t xml:space="preserve">оказатель плотности жилой застройки является одним из основных критериев эффективности градостроительного использования жилых территорий, которая обусловлена типологией жилых домов, характером их блокировки, организацией </w:t>
      </w:r>
      <w:proofErr w:type="spellStart"/>
      <w:r w:rsidR="000B15EC" w:rsidRPr="008927A1">
        <w:rPr>
          <w:sz w:val="24"/>
          <w:szCs w:val="24"/>
        </w:rPr>
        <w:t>междомовых</w:t>
      </w:r>
      <w:proofErr w:type="spellEnd"/>
      <w:r w:rsidR="000B15EC" w:rsidRPr="008927A1">
        <w:rPr>
          <w:sz w:val="24"/>
          <w:szCs w:val="24"/>
        </w:rPr>
        <w:t xml:space="preserve"> территорий (количество автостоянок, площадок для отдыха, озелененных пространств</w:t>
      </w:r>
      <w:r w:rsidR="006360D0" w:rsidRPr="006360D0">
        <w:rPr>
          <w:sz w:val="24"/>
          <w:szCs w:val="24"/>
        </w:rPr>
        <w:t>)</w:t>
      </w:r>
      <w:r w:rsidR="00BF5FEA" w:rsidRPr="00BF5FEA">
        <w:rPr>
          <w:sz w:val="24"/>
          <w:szCs w:val="24"/>
        </w:rPr>
        <w:t xml:space="preserve"> </w:t>
      </w:r>
      <w:r w:rsidR="006360D0" w:rsidRPr="006360D0">
        <w:rPr>
          <w:sz w:val="24"/>
          <w:szCs w:val="24"/>
        </w:rPr>
        <w:t>[</w:t>
      </w:r>
      <w:r w:rsidR="00BB1521">
        <w:rPr>
          <w:sz w:val="24"/>
          <w:szCs w:val="24"/>
        </w:rPr>
        <w:t>10,11</w:t>
      </w:r>
      <w:r w:rsidR="00BF5FEA" w:rsidRPr="005D1A54">
        <w:rPr>
          <w:sz w:val="24"/>
          <w:szCs w:val="24"/>
        </w:rPr>
        <w:t>]</w:t>
      </w:r>
      <w:r w:rsidR="00BF5FEA" w:rsidRPr="003A3CDB">
        <w:rPr>
          <w:sz w:val="24"/>
          <w:szCs w:val="24"/>
        </w:rPr>
        <w:t>.</w:t>
      </w:r>
    </w:p>
    <w:p w:rsidR="000B15EC" w:rsidRPr="008927A1" w:rsidRDefault="000B15EC" w:rsidP="000B15EC">
      <w:pPr>
        <w:ind w:firstLine="680"/>
        <w:rPr>
          <w:sz w:val="24"/>
          <w:szCs w:val="24"/>
        </w:rPr>
      </w:pPr>
      <w:r w:rsidRPr="008927A1">
        <w:rPr>
          <w:sz w:val="24"/>
          <w:szCs w:val="24"/>
        </w:rPr>
        <w:t xml:space="preserve">В современных условиях, необходимо отметить, что наблюдается </w:t>
      </w:r>
      <w:r w:rsidR="008F172A">
        <w:rPr>
          <w:sz w:val="24"/>
          <w:szCs w:val="24"/>
        </w:rPr>
        <w:t xml:space="preserve">устойчивая </w:t>
      </w:r>
      <w:r w:rsidRPr="008927A1">
        <w:rPr>
          <w:sz w:val="24"/>
          <w:szCs w:val="24"/>
        </w:rPr>
        <w:t>прогрессирующая урбанизация населения Республики Беларусь. В частности, динамику данного вопроса по городу Гродно</w:t>
      </w:r>
      <w:r w:rsidR="00E00379">
        <w:rPr>
          <w:sz w:val="24"/>
          <w:szCs w:val="24"/>
        </w:rPr>
        <w:t>, как областному центру</w:t>
      </w:r>
      <w:r w:rsidRPr="008927A1">
        <w:rPr>
          <w:sz w:val="24"/>
          <w:szCs w:val="24"/>
        </w:rPr>
        <w:t>, возможно, проанализировать на статистических сведениях</w:t>
      </w:r>
      <w:r w:rsidR="00221E03">
        <w:rPr>
          <w:sz w:val="24"/>
          <w:szCs w:val="24"/>
        </w:rPr>
        <w:t xml:space="preserve"> </w:t>
      </w:r>
      <w:r w:rsidR="00221E03" w:rsidRPr="00221E03">
        <w:rPr>
          <w:sz w:val="24"/>
          <w:szCs w:val="24"/>
        </w:rPr>
        <w:t>(см. таб. 1)</w:t>
      </w:r>
      <w:r w:rsidRPr="00221E03">
        <w:rPr>
          <w:sz w:val="24"/>
          <w:szCs w:val="24"/>
        </w:rPr>
        <w:t>,</w:t>
      </w:r>
      <w:r w:rsidRPr="008927A1">
        <w:rPr>
          <w:sz w:val="24"/>
          <w:szCs w:val="24"/>
        </w:rPr>
        <w:t xml:space="preserve"> полученных в Главном статистическом управлении Гродненской области </w:t>
      </w:r>
      <w:r w:rsidR="008927A1" w:rsidRPr="008927A1">
        <w:rPr>
          <w:sz w:val="24"/>
          <w:szCs w:val="24"/>
        </w:rPr>
        <w:t>[</w:t>
      </w:r>
      <w:r w:rsidR="0061212A">
        <w:rPr>
          <w:sz w:val="24"/>
          <w:szCs w:val="24"/>
        </w:rPr>
        <w:t>12</w:t>
      </w:r>
      <w:r w:rsidR="008927A1" w:rsidRPr="008927A1">
        <w:rPr>
          <w:sz w:val="24"/>
          <w:szCs w:val="24"/>
        </w:rPr>
        <w:t>]</w:t>
      </w:r>
      <w:r w:rsidRPr="008927A1">
        <w:rPr>
          <w:sz w:val="24"/>
          <w:szCs w:val="24"/>
        </w:rPr>
        <w:t>.</w:t>
      </w:r>
    </w:p>
    <w:p w:rsidR="00221E03" w:rsidRDefault="00221E03" w:rsidP="00661FA3">
      <w:pPr>
        <w:ind w:firstLine="708"/>
        <w:rPr>
          <w:rFonts w:cs="Times New Roman"/>
          <w:sz w:val="24"/>
          <w:szCs w:val="24"/>
        </w:rPr>
      </w:pPr>
    </w:p>
    <w:p w:rsidR="00661FA3" w:rsidRPr="007854FD" w:rsidRDefault="00661FA3" w:rsidP="00661FA3">
      <w:pPr>
        <w:ind w:firstLine="708"/>
        <w:rPr>
          <w:rFonts w:cs="Times New Roman"/>
          <w:sz w:val="24"/>
          <w:szCs w:val="24"/>
        </w:rPr>
      </w:pPr>
      <w:r w:rsidRPr="007854FD">
        <w:rPr>
          <w:rFonts w:cs="Times New Roman"/>
          <w:sz w:val="24"/>
          <w:szCs w:val="24"/>
        </w:rPr>
        <w:t xml:space="preserve">Таблица </w:t>
      </w:r>
      <w:r w:rsidR="007854FD">
        <w:rPr>
          <w:rFonts w:cs="Times New Roman"/>
          <w:sz w:val="24"/>
          <w:szCs w:val="24"/>
        </w:rPr>
        <w:t>1</w:t>
      </w:r>
      <w:r w:rsidRPr="007854FD">
        <w:rPr>
          <w:rFonts w:cs="Times New Roman"/>
          <w:sz w:val="24"/>
          <w:szCs w:val="24"/>
        </w:rPr>
        <w:t>. Численность населения г. Гродно (на начало года, чел.)</w:t>
      </w:r>
    </w:p>
    <w:p w:rsidR="00661FA3" w:rsidRPr="007854FD" w:rsidRDefault="00661FA3" w:rsidP="00661FA3">
      <w:pPr>
        <w:ind w:firstLine="708"/>
        <w:rPr>
          <w:rFonts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402"/>
        <w:gridCol w:w="1417"/>
        <w:gridCol w:w="1701"/>
      </w:tblGrid>
      <w:tr w:rsidR="00661FA3" w:rsidRPr="007854FD" w:rsidTr="007854FD"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FA3" w:rsidRPr="009C4F43" w:rsidRDefault="00661FA3" w:rsidP="00661F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Период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FA3" w:rsidRPr="009C4F43" w:rsidRDefault="00661FA3" w:rsidP="004921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г. Гродно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FA3" w:rsidRPr="009C4F43" w:rsidRDefault="00661FA3" w:rsidP="004921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Районы</w:t>
            </w:r>
          </w:p>
        </w:tc>
      </w:tr>
      <w:tr w:rsidR="00661FA3" w:rsidRPr="007854FD" w:rsidTr="007854FD"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FA3" w:rsidRPr="009C4F43" w:rsidRDefault="00661FA3" w:rsidP="0049212C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1FA3" w:rsidRPr="009C4F43" w:rsidRDefault="00661FA3" w:rsidP="0049212C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FA3" w:rsidRPr="009C4F43" w:rsidRDefault="00661FA3" w:rsidP="004921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FA3" w:rsidRPr="009C4F43" w:rsidRDefault="00661FA3" w:rsidP="004921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Октябрьский</w:t>
            </w:r>
          </w:p>
        </w:tc>
      </w:tr>
      <w:tr w:rsidR="00661FA3" w:rsidRPr="007854FD" w:rsidTr="007854FD"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1FA3" w:rsidRPr="00141982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141982">
              <w:rPr>
                <w:rFonts w:cs="Times New Roman"/>
                <w:sz w:val="20"/>
                <w:szCs w:val="20"/>
              </w:rPr>
              <w:t>330 311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1FA3" w:rsidRPr="00141982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141982">
              <w:rPr>
                <w:rFonts w:cs="Times New Roman"/>
                <w:sz w:val="20"/>
                <w:szCs w:val="20"/>
              </w:rPr>
              <w:t>145 308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1FA3" w:rsidRPr="00141982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141982">
              <w:rPr>
                <w:rFonts w:cs="Times New Roman"/>
                <w:sz w:val="20"/>
                <w:szCs w:val="20"/>
              </w:rPr>
              <w:t>185 003</w:t>
            </w:r>
          </w:p>
        </w:tc>
      </w:tr>
      <w:tr w:rsidR="00661FA3" w:rsidRPr="007854FD" w:rsidTr="007854FD">
        <w:tc>
          <w:tcPr>
            <w:tcW w:w="1575" w:type="dxa"/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338 287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148 960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189 327</w:t>
            </w:r>
          </w:p>
        </w:tc>
      </w:tr>
      <w:tr w:rsidR="00661FA3" w:rsidRPr="007854FD" w:rsidTr="007854FD">
        <w:tc>
          <w:tcPr>
            <w:tcW w:w="1575" w:type="dxa"/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346 601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152 397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194 204</w:t>
            </w:r>
          </w:p>
        </w:tc>
      </w:tr>
      <w:tr w:rsidR="00661FA3" w:rsidRPr="007854FD" w:rsidTr="007854FD">
        <w:tc>
          <w:tcPr>
            <w:tcW w:w="1575" w:type="dxa"/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352 485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151 636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200 849</w:t>
            </w:r>
          </w:p>
        </w:tc>
      </w:tr>
      <w:tr w:rsidR="00661FA3" w:rsidRPr="007854FD" w:rsidTr="007854FD">
        <w:tc>
          <w:tcPr>
            <w:tcW w:w="1575" w:type="dxa"/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356 557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151 194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205 363</w:t>
            </w:r>
          </w:p>
        </w:tc>
      </w:tr>
      <w:tr w:rsidR="00661FA3" w:rsidRPr="007854FD" w:rsidTr="007854FD">
        <w:tc>
          <w:tcPr>
            <w:tcW w:w="1575" w:type="dxa"/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361 352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150 265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211 087</w:t>
            </w:r>
          </w:p>
        </w:tc>
      </w:tr>
      <w:tr w:rsidR="00661FA3" w:rsidRPr="007854FD" w:rsidTr="007854FD">
        <w:tc>
          <w:tcPr>
            <w:tcW w:w="1575" w:type="dxa"/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365 610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149 067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216 543</w:t>
            </w:r>
          </w:p>
        </w:tc>
      </w:tr>
      <w:tr w:rsidR="00661FA3" w:rsidRPr="007854FD" w:rsidTr="007854FD">
        <w:tc>
          <w:tcPr>
            <w:tcW w:w="1575" w:type="dxa"/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368 710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148 070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220 640</w:t>
            </w:r>
          </w:p>
        </w:tc>
      </w:tr>
      <w:tr w:rsidR="00661FA3" w:rsidRPr="007854FD" w:rsidTr="007854FD">
        <w:tc>
          <w:tcPr>
            <w:tcW w:w="1575" w:type="dxa"/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370 919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147 509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61FA3" w:rsidRPr="009C4F43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223 410</w:t>
            </w:r>
          </w:p>
        </w:tc>
      </w:tr>
      <w:tr w:rsidR="00661FA3" w:rsidRPr="007854FD" w:rsidTr="007854FD">
        <w:tc>
          <w:tcPr>
            <w:tcW w:w="1575" w:type="dxa"/>
            <w:tcBorders>
              <w:bottom w:val="nil"/>
            </w:tcBorders>
            <w:shd w:val="clear" w:color="auto" w:fill="auto"/>
            <w:vAlign w:val="bottom"/>
          </w:tcPr>
          <w:p w:rsidR="00661FA3" w:rsidRPr="009C4F43" w:rsidRDefault="00661FA3" w:rsidP="007854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4F43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402" w:type="dxa"/>
            <w:tcBorders>
              <w:bottom w:val="nil"/>
            </w:tcBorders>
            <w:shd w:val="clear" w:color="auto" w:fill="auto"/>
            <w:vAlign w:val="bottom"/>
          </w:tcPr>
          <w:p w:rsidR="00661FA3" w:rsidRPr="00141982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141982">
              <w:rPr>
                <w:rFonts w:cs="Times New Roman"/>
                <w:sz w:val="20"/>
                <w:szCs w:val="20"/>
              </w:rPr>
              <w:t>373 547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661FA3" w:rsidRPr="00141982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141982">
              <w:rPr>
                <w:rFonts w:cs="Times New Roman"/>
                <w:sz w:val="20"/>
                <w:szCs w:val="20"/>
              </w:rPr>
              <w:t>146 846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661FA3" w:rsidRPr="00141982" w:rsidRDefault="00661FA3" w:rsidP="007854FD">
            <w:pPr>
              <w:rPr>
                <w:rFonts w:cs="Times New Roman"/>
                <w:sz w:val="20"/>
                <w:szCs w:val="20"/>
              </w:rPr>
            </w:pPr>
            <w:r w:rsidRPr="00141982">
              <w:rPr>
                <w:rFonts w:cs="Times New Roman"/>
                <w:sz w:val="20"/>
                <w:szCs w:val="20"/>
              </w:rPr>
              <w:t>226 701</w:t>
            </w:r>
          </w:p>
        </w:tc>
      </w:tr>
      <w:tr w:rsidR="00661FA3" w:rsidRPr="007854FD" w:rsidTr="007854FD">
        <w:tc>
          <w:tcPr>
            <w:tcW w:w="157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661FA3" w:rsidRPr="007854FD" w:rsidRDefault="00661FA3" w:rsidP="0049212C">
            <w:pPr>
              <w:ind w:firstLine="708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661FA3" w:rsidRPr="00141982" w:rsidRDefault="00661FA3" w:rsidP="0049212C">
            <w:pPr>
              <w:ind w:firstLine="7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661FA3" w:rsidRPr="00141982" w:rsidRDefault="00661FA3" w:rsidP="0049212C">
            <w:pPr>
              <w:ind w:firstLine="7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61FA3" w:rsidRPr="00141982" w:rsidRDefault="00661FA3" w:rsidP="0049212C">
            <w:pPr>
              <w:ind w:firstLine="708"/>
              <w:rPr>
                <w:rFonts w:cs="Times New Roman"/>
                <w:sz w:val="24"/>
                <w:szCs w:val="24"/>
              </w:rPr>
            </w:pPr>
          </w:p>
        </w:tc>
      </w:tr>
    </w:tbl>
    <w:p w:rsidR="00661FA3" w:rsidRDefault="00661FA3" w:rsidP="00661FA3">
      <w:pPr>
        <w:ind w:firstLine="708"/>
      </w:pPr>
    </w:p>
    <w:p w:rsidR="000B15EC" w:rsidRPr="003A3CDB" w:rsidRDefault="000B15EC" w:rsidP="000B15EC">
      <w:pPr>
        <w:ind w:firstLine="680"/>
        <w:rPr>
          <w:sz w:val="24"/>
          <w:szCs w:val="24"/>
        </w:rPr>
      </w:pPr>
      <w:r w:rsidRPr="003A3CDB">
        <w:rPr>
          <w:sz w:val="24"/>
          <w:szCs w:val="24"/>
        </w:rPr>
        <w:t>При этом высокая концентрация строительства в населенных пунктах опосредовано способствует возникновению и обострению проблем в экологической сфере, т.к. увеличение плотности застройки соответственно влечёт увеличение количества транспорта на единице площади селитебной территории, и как следствие, ухудшение экологических показателей. Как было определено ранее, более  90 %  всех загрязнений в городской среде даёт именно автотранспорт (основная часть - окиси углерода</w:t>
      </w:r>
      <w:r w:rsidR="003A3CDB" w:rsidRPr="003A3CDB">
        <w:rPr>
          <w:sz w:val="24"/>
          <w:szCs w:val="24"/>
        </w:rPr>
        <w:t>, серы</w:t>
      </w:r>
      <w:r w:rsidRPr="003A3CDB">
        <w:rPr>
          <w:sz w:val="24"/>
          <w:szCs w:val="24"/>
        </w:rPr>
        <w:t xml:space="preserve"> и тяжелых металлов)</w:t>
      </w:r>
      <w:r w:rsidR="00E00A35">
        <w:rPr>
          <w:sz w:val="24"/>
          <w:szCs w:val="24"/>
        </w:rPr>
        <w:t xml:space="preserve"> </w:t>
      </w:r>
      <w:r w:rsidR="00E00A35" w:rsidRPr="00E00A35">
        <w:rPr>
          <w:sz w:val="24"/>
          <w:szCs w:val="24"/>
        </w:rPr>
        <w:t>[</w:t>
      </w:r>
      <w:r w:rsidR="000D7E65" w:rsidRPr="000D7E65">
        <w:rPr>
          <w:sz w:val="24"/>
          <w:szCs w:val="24"/>
        </w:rPr>
        <w:t>1</w:t>
      </w:r>
      <w:r w:rsidR="0061212A">
        <w:rPr>
          <w:sz w:val="24"/>
          <w:szCs w:val="24"/>
        </w:rPr>
        <w:t>3</w:t>
      </w:r>
      <w:r w:rsidR="00E00A35" w:rsidRPr="00E00A35">
        <w:rPr>
          <w:sz w:val="24"/>
          <w:szCs w:val="24"/>
        </w:rPr>
        <w:t>]</w:t>
      </w:r>
      <w:r w:rsidR="0002583D">
        <w:rPr>
          <w:sz w:val="24"/>
          <w:szCs w:val="24"/>
        </w:rPr>
        <w:t>.</w:t>
      </w:r>
      <w:r w:rsidR="005D1A54">
        <w:rPr>
          <w:sz w:val="24"/>
          <w:szCs w:val="24"/>
        </w:rPr>
        <w:t xml:space="preserve"> </w:t>
      </w:r>
    </w:p>
    <w:p w:rsidR="00FB64EC" w:rsidRDefault="000B15EC" w:rsidP="00FB64EC">
      <w:pPr>
        <w:ind w:firstLine="680"/>
        <w:rPr>
          <w:sz w:val="24"/>
          <w:szCs w:val="24"/>
        </w:rPr>
      </w:pPr>
      <w:r w:rsidRPr="003A3CDB">
        <w:rPr>
          <w:sz w:val="24"/>
          <w:szCs w:val="24"/>
        </w:rPr>
        <w:t>Согласно данным Главного статистического управления Гродненской области, ежегодно увеличивается количество легковых автомобилей в личной собственности жителей Гродненской области</w:t>
      </w:r>
      <w:r w:rsidR="005D1A54" w:rsidRPr="005D1A54">
        <w:rPr>
          <w:sz w:val="24"/>
          <w:szCs w:val="24"/>
        </w:rPr>
        <w:t>.</w:t>
      </w:r>
      <w:r w:rsidRPr="003A3CDB">
        <w:rPr>
          <w:sz w:val="24"/>
          <w:szCs w:val="24"/>
        </w:rPr>
        <w:t xml:space="preserve"> Так, </w:t>
      </w:r>
      <w:r w:rsidR="003A3CDB" w:rsidRPr="003A3CDB">
        <w:rPr>
          <w:sz w:val="24"/>
          <w:szCs w:val="24"/>
        </w:rPr>
        <w:t xml:space="preserve">в период с </w:t>
      </w:r>
      <w:r w:rsidRPr="003A3CDB">
        <w:rPr>
          <w:sz w:val="24"/>
          <w:szCs w:val="24"/>
        </w:rPr>
        <w:t>01.01.2019 по 01.01.2018 их количество увеличилось на 6,1 тыс. штук</w:t>
      </w:r>
      <w:r w:rsidR="003907A2">
        <w:rPr>
          <w:sz w:val="24"/>
          <w:szCs w:val="24"/>
        </w:rPr>
        <w:t xml:space="preserve"> </w:t>
      </w:r>
      <w:r w:rsidR="003907A2" w:rsidRPr="005D1A54">
        <w:rPr>
          <w:sz w:val="24"/>
          <w:szCs w:val="24"/>
        </w:rPr>
        <w:t>[</w:t>
      </w:r>
      <w:r w:rsidR="003907A2">
        <w:rPr>
          <w:sz w:val="24"/>
          <w:szCs w:val="24"/>
        </w:rPr>
        <w:t>1</w:t>
      </w:r>
      <w:r w:rsidR="00E00A35" w:rsidRPr="00E00A35">
        <w:rPr>
          <w:sz w:val="24"/>
          <w:szCs w:val="24"/>
        </w:rPr>
        <w:t>0</w:t>
      </w:r>
      <w:r w:rsidR="003907A2" w:rsidRPr="005D1A54">
        <w:rPr>
          <w:sz w:val="24"/>
          <w:szCs w:val="24"/>
        </w:rPr>
        <w:t>]</w:t>
      </w:r>
      <w:r w:rsidRPr="003A3CDB">
        <w:rPr>
          <w:sz w:val="24"/>
          <w:szCs w:val="24"/>
        </w:rPr>
        <w:t xml:space="preserve">. Обеспеченность населения легковыми автомобилями по Гродненской области </w:t>
      </w:r>
      <w:r w:rsidR="00BB7690">
        <w:rPr>
          <w:sz w:val="24"/>
          <w:szCs w:val="24"/>
        </w:rPr>
        <w:t xml:space="preserve">на 01.01.2019 </w:t>
      </w:r>
      <w:r w:rsidRPr="003A3CDB">
        <w:rPr>
          <w:sz w:val="24"/>
          <w:szCs w:val="24"/>
        </w:rPr>
        <w:t xml:space="preserve">составила в среднем 363 авто на 1000 человек населения (для сравнения, показатель на 2011 год – 293, </w:t>
      </w:r>
      <w:r w:rsidR="003A3CDB" w:rsidRPr="003A3CDB">
        <w:rPr>
          <w:sz w:val="24"/>
          <w:szCs w:val="24"/>
        </w:rPr>
        <w:t xml:space="preserve">при </w:t>
      </w:r>
      <w:r w:rsidRPr="003A3CDB">
        <w:rPr>
          <w:sz w:val="24"/>
          <w:szCs w:val="24"/>
        </w:rPr>
        <w:t>ежегодн</w:t>
      </w:r>
      <w:r w:rsidR="003A3CDB" w:rsidRPr="003A3CDB">
        <w:rPr>
          <w:sz w:val="24"/>
          <w:szCs w:val="24"/>
        </w:rPr>
        <w:t>ом</w:t>
      </w:r>
      <w:r w:rsidRPr="003A3CDB">
        <w:rPr>
          <w:sz w:val="24"/>
          <w:szCs w:val="24"/>
        </w:rPr>
        <w:t xml:space="preserve"> прирост</w:t>
      </w:r>
      <w:r w:rsidR="003A3CDB" w:rsidRPr="003A3CDB">
        <w:rPr>
          <w:sz w:val="24"/>
          <w:szCs w:val="24"/>
        </w:rPr>
        <w:t>е</w:t>
      </w:r>
      <w:r w:rsidRPr="003A3CDB">
        <w:rPr>
          <w:sz w:val="24"/>
          <w:szCs w:val="24"/>
        </w:rPr>
        <w:t xml:space="preserve"> 2-5 %). Это самый высокий показатель среди </w:t>
      </w:r>
      <w:r w:rsidR="00BB7690">
        <w:rPr>
          <w:sz w:val="24"/>
          <w:szCs w:val="24"/>
        </w:rPr>
        <w:t xml:space="preserve">других </w:t>
      </w:r>
      <w:r w:rsidRPr="003A3CDB">
        <w:rPr>
          <w:sz w:val="24"/>
          <w:szCs w:val="24"/>
        </w:rPr>
        <w:t xml:space="preserve">областей и столичного региона. Причем, необходимо учесть, что количество легкового автотранспорта среди городских жителей в несколько раз больше, чем в сельской местности. </w:t>
      </w:r>
      <w:r w:rsidR="003A3CDB" w:rsidRPr="003A3CDB">
        <w:rPr>
          <w:sz w:val="24"/>
          <w:szCs w:val="24"/>
        </w:rPr>
        <w:t xml:space="preserve">Фактически, легковая машина есть у каждого третьего жителя региона, включая стариков и детей. </w:t>
      </w:r>
      <w:r w:rsidRPr="003A3CDB">
        <w:rPr>
          <w:sz w:val="24"/>
          <w:szCs w:val="24"/>
        </w:rPr>
        <w:t xml:space="preserve">Одновременно с этим, отмечается рост количества </w:t>
      </w:r>
      <w:r w:rsidR="002E28DF">
        <w:rPr>
          <w:sz w:val="24"/>
          <w:szCs w:val="24"/>
        </w:rPr>
        <w:t xml:space="preserve">личного </w:t>
      </w:r>
      <w:r w:rsidRPr="003A3CDB">
        <w:rPr>
          <w:sz w:val="24"/>
          <w:szCs w:val="24"/>
        </w:rPr>
        <w:t>грузового транспорта</w:t>
      </w:r>
      <w:r w:rsidR="00253094">
        <w:rPr>
          <w:sz w:val="24"/>
          <w:szCs w:val="24"/>
        </w:rPr>
        <w:t>.</w:t>
      </w:r>
    </w:p>
    <w:p w:rsidR="006C3876" w:rsidRPr="003A3CDB" w:rsidRDefault="006C3876" w:rsidP="00FB64EC">
      <w:pPr>
        <w:ind w:firstLine="680"/>
        <w:rPr>
          <w:sz w:val="24"/>
          <w:szCs w:val="24"/>
        </w:rPr>
      </w:pPr>
      <w:r w:rsidRPr="006C3876">
        <w:rPr>
          <w:sz w:val="24"/>
          <w:szCs w:val="24"/>
        </w:rPr>
        <w:t xml:space="preserve">В </w:t>
      </w:r>
      <w:r w:rsidR="00F627A6">
        <w:rPr>
          <w:sz w:val="24"/>
          <w:szCs w:val="24"/>
        </w:rPr>
        <w:t xml:space="preserve">силу данных обстоятельств, в </w:t>
      </w:r>
      <w:r w:rsidRPr="006C3876">
        <w:rPr>
          <w:sz w:val="24"/>
          <w:szCs w:val="24"/>
        </w:rPr>
        <w:t xml:space="preserve">качестве максимального показателя автомобилизации </w:t>
      </w:r>
      <w:r w:rsidR="00F627A6">
        <w:rPr>
          <w:sz w:val="24"/>
          <w:szCs w:val="24"/>
        </w:rPr>
        <w:t xml:space="preserve">населения урбанизированной территории следует принимать количество </w:t>
      </w:r>
      <w:r w:rsidRPr="006C3876">
        <w:rPr>
          <w:sz w:val="24"/>
          <w:szCs w:val="24"/>
        </w:rPr>
        <w:t>жителей, имеющих право водить автомобили по возрасту и состоянию здоровья, на основании статистических данных – порядка 650 на 1000 человек.</w:t>
      </w:r>
    </w:p>
    <w:p w:rsidR="000B15EC" w:rsidRPr="003A3CDB" w:rsidRDefault="000B15EC" w:rsidP="000B15EC">
      <w:pPr>
        <w:ind w:firstLine="680"/>
        <w:rPr>
          <w:sz w:val="24"/>
          <w:szCs w:val="24"/>
        </w:rPr>
      </w:pPr>
      <w:r w:rsidRPr="003A3CDB">
        <w:rPr>
          <w:sz w:val="24"/>
          <w:szCs w:val="24"/>
        </w:rPr>
        <w:lastRenderedPageBreak/>
        <w:t xml:space="preserve"> Таким образом, высокая концентрация строительства является основной причиной увеличения плотности населения и количества автотранспорта (личного, общественного, производственного, транзитного и др.) и, как следствие, негативно отражается на общем фоне экологии города. </w:t>
      </w:r>
    </w:p>
    <w:p w:rsidR="000B15EC" w:rsidRPr="003A3CDB" w:rsidRDefault="000B15EC" w:rsidP="000B15EC">
      <w:pPr>
        <w:ind w:firstLine="680"/>
        <w:rPr>
          <w:sz w:val="24"/>
          <w:szCs w:val="24"/>
        </w:rPr>
      </w:pPr>
      <w:r w:rsidRPr="003A3CDB">
        <w:rPr>
          <w:sz w:val="24"/>
          <w:szCs w:val="24"/>
        </w:rPr>
        <w:t>На сегодняшний день обозначенный фактор техногенной нагрузки на территорию становится одной из приоритетных проблем больших городов и на прилегающих к ним территориях</w:t>
      </w:r>
      <w:r w:rsidR="006B664B">
        <w:rPr>
          <w:sz w:val="24"/>
          <w:szCs w:val="24"/>
        </w:rPr>
        <w:t>,</w:t>
      </w:r>
      <w:r w:rsidR="006B664B" w:rsidRPr="006B664B">
        <w:rPr>
          <w:sz w:val="24"/>
          <w:szCs w:val="24"/>
        </w:rPr>
        <w:t xml:space="preserve"> причин</w:t>
      </w:r>
      <w:r w:rsidR="006B664B">
        <w:rPr>
          <w:sz w:val="24"/>
          <w:szCs w:val="24"/>
        </w:rPr>
        <w:t>ой</w:t>
      </w:r>
      <w:r w:rsidR="006B664B" w:rsidRPr="006B664B">
        <w:rPr>
          <w:sz w:val="24"/>
          <w:szCs w:val="24"/>
        </w:rPr>
        <w:t xml:space="preserve"> плохой экологической обстановки</w:t>
      </w:r>
      <w:r w:rsidRPr="003A3CDB">
        <w:rPr>
          <w:sz w:val="24"/>
          <w:szCs w:val="24"/>
        </w:rPr>
        <w:t xml:space="preserve">. Так, любой объект недвижимости при определенных условиях способен напрямую или опосредовано оказывать негативное воздействие на окружающую среду и проживающего на данной территории человека. Как следствие, в отдельных случаях на местах возникают неблагоприятные условия для жизни и здоровья граждан и окружающей среды. </w:t>
      </w:r>
    </w:p>
    <w:p w:rsidR="00F12751" w:rsidRPr="003A3CDB" w:rsidRDefault="000B15EC" w:rsidP="000B15EC">
      <w:pPr>
        <w:ind w:firstLine="680"/>
        <w:rPr>
          <w:sz w:val="24"/>
          <w:szCs w:val="24"/>
        </w:rPr>
      </w:pPr>
      <w:proofErr w:type="gramStart"/>
      <w:r w:rsidRPr="003A3CDB">
        <w:rPr>
          <w:sz w:val="24"/>
          <w:szCs w:val="24"/>
        </w:rPr>
        <w:t>Озвученные проблемы были напрямую связаны с высокой плотностью жилой застройки и сопутствующими факторами, ухудшающими качество жизни проживающего в этих районах населения: перегруженные транспортные схемы и малое количество парковочных мест, организация автостоянок за счет газонов и зеленых насаждений, детских и спортивных площадок, не соблюдение требований инсоляции жилых помещений и дворовых территорий, вследствие затененности от соседних строений</w:t>
      </w:r>
      <w:r w:rsidR="0002583D">
        <w:rPr>
          <w:sz w:val="24"/>
          <w:szCs w:val="24"/>
        </w:rPr>
        <w:t xml:space="preserve"> </w:t>
      </w:r>
      <w:r w:rsidR="0002583D" w:rsidRPr="0002583D">
        <w:rPr>
          <w:sz w:val="24"/>
          <w:szCs w:val="24"/>
        </w:rPr>
        <w:t>[</w:t>
      </w:r>
      <w:r w:rsidR="0061212A">
        <w:rPr>
          <w:sz w:val="24"/>
          <w:szCs w:val="24"/>
        </w:rPr>
        <w:t>10,11</w:t>
      </w:r>
      <w:r w:rsidR="0002583D" w:rsidRPr="0002583D">
        <w:rPr>
          <w:sz w:val="24"/>
          <w:szCs w:val="24"/>
        </w:rPr>
        <w:t>]</w:t>
      </w:r>
      <w:r w:rsidRPr="003A3CDB">
        <w:rPr>
          <w:sz w:val="24"/>
          <w:szCs w:val="24"/>
        </w:rPr>
        <w:t xml:space="preserve">. </w:t>
      </w:r>
      <w:proofErr w:type="gramEnd"/>
    </w:p>
    <w:p w:rsidR="000B15EC" w:rsidRPr="00BB7690" w:rsidRDefault="000B15EC" w:rsidP="000B15EC">
      <w:pPr>
        <w:ind w:firstLine="680"/>
        <w:rPr>
          <w:sz w:val="24"/>
          <w:szCs w:val="24"/>
        </w:rPr>
      </w:pPr>
      <w:r w:rsidRPr="00BB7690">
        <w:rPr>
          <w:sz w:val="24"/>
          <w:szCs w:val="24"/>
        </w:rPr>
        <w:t xml:space="preserve">Транспортная инфраструктура жилой застройки, регламентируется действующими технологическими нормами ТКП 45-3.01-116-2008 «ГРАДОСТРОИТЕЛЬСТВО. НАСЕЛЕННЫЕ ПУНКТЫ. Нормы планировки и застройки» (с изменениями и дополнениями по состоянию на декабрь 2019 года), которыми определены конкретные требования, предъявляемые к проектированию территорий многоквартирной жилой застройки, в плане размещении автомобильных стоянок и автомобильных парковок. </w:t>
      </w:r>
    </w:p>
    <w:p w:rsidR="000B15EC" w:rsidRPr="00BB7690" w:rsidRDefault="000B15EC" w:rsidP="000B15EC">
      <w:pPr>
        <w:ind w:firstLine="680"/>
        <w:rPr>
          <w:sz w:val="24"/>
          <w:szCs w:val="24"/>
        </w:rPr>
      </w:pPr>
      <w:r w:rsidRPr="00BB7690">
        <w:rPr>
          <w:sz w:val="24"/>
          <w:szCs w:val="24"/>
        </w:rPr>
        <w:t>Так, для предварительных расчетов уровень автомобилизации населения принимается по следующим значениям (легковых автомобилей на 1000 чел.):</w:t>
      </w:r>
    </w:p>
    <w:p w:rsidR="000B15EC" w:rsidRPr="00BB7690" w:rsidRDefault="000B15EC" w:rsidP="000B15EC">
      <w:pPr>
        <w:ind w:firstLine="680"/>
        <w:rPr>
          <w:sz w:val="24"/>
          <w:szCs w:val="24"/>
        </w:rPr>
      </w:pPr>
      <w:r w:rsidRPr="00BB7690">
        <w:rPr>
          <w:sz w:val="24"/>
          <w:szCs w:val="24"/>
        </w:rPr>
        <w:t>— в г. Минске и крупных городах — не менее 350;</w:t>
      </w:r>
    </w:p>
    <w:p w:rsidR="000B15EC" w:rsidRPr="00BB7690" w:rsidRDefault="000B15EC" w:rsidP="000B15EC">
      <w:pPr>
        <w:ind w:firstLine="680"/>
        <w:rPr>
          <w:sz w:val="24"/>
          <w:szCs w:val="24"/>
        </w:rPr>
      </w:pPr>
      <w:r w:rsidRPr="00BB7690">
        <w:rPr>
          <w:sz w:val="24"/>
          <w:szCs w:val="24"/>
        </w:rPr>
        <w:t>— в больших и средних городах</w:t>
      </w:r>
      <w:r w:rsidRPr="00BB7690">
        <w:rPr>
          <w:sz w:val="24"/>
          <w:szCs w:val="24"/>
        </w:rPr>
        <w:tab/>
        <w:t>— 300;</w:t>
      </w:r>
    </w:p>
    <w:p w:rsidR="000B15EC" w:rsidRPr="00BB7690" w:rsidRDefault="000B15EC" w:rsidP="000B15EC">
      <w:pPr>
        <w:ind w:firstLine="680"/>
        <w:rPr>
          <w:sz w:val="24"/>
          <w:szCs w:val="24"/>
        </w:rPr>
      </w:pPr>
      <w:r w:rsidRPr="00BB7690">
        <w:rPr>
          <w:sz w:val="24"/>
          <w:szCs w:val="24"/>
        </w:rPr>
        <w:t>— в малых городских и сельских поселениях — 250.</w:t>
      </w:r>
    </w:p>
    <w:p w:rsidR="000B15EC" w:rsidRPr="000B15EC" w:rsidRDefault="000B15EC" w:rsidP="000B15EC">
      <w:pPr>
        <w:ind w:firstLine="680"/>
        <w:rPr>
          <w:sz w:val="20"/>
          <w:szCs w:val="20"/>
        </w:rPr>
      </w:pPr>
      <w:r w:rsidRPr="00BB7690">
        <w:rPr>
          <w:sz w:val="24"/>
          <w:szCs w:val="24"/>
        </w:rPr>
        <w:t>Вместе с тем, в н.в. реальный показатель автомобилизации для Гродненской области и г. Гродно уже превышает указанные</w:t>
      </w:r>
      <w:r w:rsidR="00E00379">
        <w:rPr>
          <w:sz w:val="24"/>
          <w:szCs w:val="24"/>
        </w:rPr>
        <w:t xml:space="preserve"> нормативы</w:t>
      </w:r>
      <w:r w:rsidRPr="00BB7690">
        <w:rPr>
          <w:sz w:val="24"/>
          <w:szCs w:val="24"/>
        </w:rPr>
        <w:t>.</w:t>
      </w:r>
    </w:p>
    <w:p w:rsidR="000B15EC" w:rsidRPr="00F84BFD" w:rsidRDefault="008560DD" w:rsidP="000B15EC">
      <w:pPr>
        <w:ind w:firstLine="680"/>
        <w:rPr>
          <w:sz w:val="24"/>
          <w:szCs w:val="24"/>
        </w:rPr>
      </w:pPr>
      <w:proofErr w:type="gramStart"/>
      <w:r w:rsidRPr="00F84BFD">
        <w:rPr>
          <w:sz w:val="24"/>
          <w:szCs w:val="24"/>
        </w:rPr>
        <w:t>Согласно дополнений</w:t>
      </w:r>
      <w:proofErr w:type="gramEnd"/>
      <w:r w:rsidRPr="00F84BFD">
        <w:rPr>
          <w:sz w:val="24"/>
          <w:szCs w:val="24"/>
        </w:rPr>
        <w:t xml:space="preserve"> </w:t>
      </w:r>
      <w:r w:rsidR="00F84BFD" w:rsidRPr="00F84BFD">
        <w:rPr>
          <w:sz w:val="24"/>
          <w:szCs w:val="24"/>
        </w:rPr>
        <w:t xml:space="preserve">в ТКП, предусмотренных  </w:t>
      </w:r>
      <w:proofErr w:type="spellStart"/>
      <w:r w:rsidR="00F84BFD" w:rsidRPr="00F84BFD">
        <w:rPr>
          <w:sz w:val="24"/>
          <w:szCs w:val="24"/>
        </w:rPr>
        <w:t>п.п</w:t>
      </w:r>
      <w:proofErr w:type="spellEnd"/>
      <w:r w:rsidR="00F84BFD" w:rsidRPr="00F84BFD">
        <w:rPr>
          <w:sz w:val="24"/>
          <w:szCs w:val="24"/>
        </w:rPr>
        <w:t>. 11.6.1, п</w:t>
      </w:r>
      <w:r w:rsidR="000B15EC" w:rsidRPr="00F84BFD">
        <w:rPr>
          <w:sz w:val="24"/>
          <w:szCs w:val="24"/>
        </w:rPr>
        <w:t>ри проектировании территорий многоквартирной жилой застройки с декабря 2016 года предусматривается размещение автомобильных стоянок и автомобильных парковок для хранения 100 % численности расчетного парка автомобилей, принадлежащих гражданам, но не менее одного машино-места на одну квартиру</w:t>
      </w:r>
      <w:r w:rsidR="009F4FA2" w:rsidRPr="009F4FA2">
        <w:rPr>
          <w:sz w:val="24"/>
          <w:szCs w:val="24"/>
        </w:rPr>
        <w:t xml:space="preserve"> [1</w:t>
      </w:r>
      <w:r w:rsidR="0061212A">
        <w:rPr>
          <w:sz w:val="24"/>
          <w:szCs w:val="24"/>
        </w:rPr>
        <w:t>4</w:t>
      </w:r>
      <w:r w:rsidR="009F4FA2" w:rsidRPr="009F4FA2">
        <w:rPr>
          <w:sz w:val="24"/>
          <w:szCs w:val="24"/>
        </w:rPr>
        <w:t>]</w:t>
      </w:r>
      <w:r w:rsidR="000B15EC" w:rsidRPr="00F84BFD">
        <w:rPr>
          <w:sz w:val="24"/>
          <w:szCs w:val="24"/>
        </w:rPr>
        <w:t>.</w:t>
      </w:r>
      <w:r w:rsidR="00A50BE0">
        <w:rPr>
          <w:sz w:val="24"/>
          <w:szCs w:val="24"/>
        </w:rPr>
        <w:t xml:space="preserve"> Однако,</w:t>
      </w:r>
      <w:r w:rsidR="00F84BFD" w:rsidRPr="00F84BFD">
        <w:rPr>
          <w:sz w:val="24"/>
          <w:szCs w:val="24"/>
        </w:rPr>
        <w:t xml:space="preserve"> </w:t>
      </w:r>
      <w:r w:rsidR="004B2370">
        <w:rPr>
          <w:sz w:val="24"/>
          <w:szCs w:val="24"/>
        </w:rPr>
        <w:t xml:space="preserve">в большинстве случаев, </w:t>
      </w:r>
      <w:r w:rsidR="00F84BFD" w:rsidRPr="00F84BFD">
        <w:rPr>
          <w:sz w:val="24"/>
          <w:szCs w:val="24"/>
        </w:rPr>
        <w:t>данное требование на местах соблюдается далеко не все</w:t>
      </w:r>
      <w:r w:rsidR="004B2370">
        <w:rPr>
          <w:sz w:val="24"/>
          <w:szCs w:val="24"/>
        </w:rPr>
        <w:t>гда</w:t>
      </w:r>
      <w:r w:rsidR="00F84BFD" w:rsidRPr="00F84BFD">
        <w:rPr>
          <w:sz w:val="24"/>
          <w:szCs w:val="24"/>
        </w:rPr>
        <w:t>.</w:t>
      </w:r>
    </w:p>
    <w:p w:rsidR="00A50BE0" w:rsidRPr="00A50BE0" w:rsidRDefault="00E00379" w:rsidP="000B15EC">
      <w:pPr>
        <w:ind w:firstLine="680"/>
        <w:rPr>
          <w:sz w:val="24"/>
          <w:szCs w:val="24"/>
        </w:rPr>
      </w:pPr>
      <w:r>
        <w:rPr>
          <w:sz w:val="24"/>
          <w:szCs w:val="24"/>
        </w:rPr>
        <w:t>Следует отметить</w:t>
      </w:r>
      <w:r w:rsidR="001014E5" w:rsidRPr="00A50BE0">
        <w:rPr>
          <w:sz w:val="24"/>
          <w:szCs w:val="24"/>
        </w:rPr>
        <w:t>,</w:t>
      </w:r>
      <w:r>
        <w:rPr>
          <w:sz w:val="24"/>
          <w:szCs w:val="24"/>
        </w:rPr>
        <w:t xml:space="preserve"> что</w:t>
      </w:r>
      <w:r w:rsidR="001014E5" w:rsidRPr="00A50BE0">
        <w:rPr>
          <w:sz w:val="24"/>
          <w:szCs w:val="24"/>
        </w:rPr>
        <w:t xml:space="preserve"> анализ нормативно-правовых актов</w:t>
      </w:r>
      <w:r w:rsidR="00497066" w:rsidRPr="00A50BE0">
        <w:rPr>
          <w:sz w:val="24"/>
          <w:szCs w:val="24"/>
        </w:rPr>
        <w:t xml:space="preserve"> Республики Беларусь, регламентирующих градостроительную и строительную деятельность, свидетельствует о том, </w:t>
      </w:r>
      <w:r w:rsidR="00A50BE0" w:rsidRPr="00A50BE0">
        <w:rPr>
          <w:sz w:val="24"/>
          <w:szCs w:val="24"/>
        </w:rPr>
        <w:t>что</w:t>
      </w:r>
      <w:r w:rsidR="00B45D09">
        <w:rPr>
          <w:sz w:val="24"/>
          <w:szCs w:val="24"/>
        </w:rPr>
        <w:t xml:space="preserve"> ранее и</w:t>
      </w:r>
      <w:r w:rsidR="00A50BE0" w:rsidRPr="00A50BE0">
        <w:rPr>
          <w:sz w:val="24"/>
          <w:szCs w:val="24"/>
        </w:rPr>
        <w:t xml:space="preserve"> в настоящее время</w:t>
      </w:r>
      <w:r w:rsidR="00497066" w:rsidRPr="00A50BE0">
        <w:rPr>
          <w:sz w:val="24"/>
          <w:szCs w:val="24"/>
        </w:rPr>
        <w:t xml:space="preserve"> </w:t>
      </w:r>
      <w:r w:rsidR="00A50BE0" w:rsidRPr="00A50BE0">
        <w:rPr>
          <w:sz w:val="24"/>
          <w:szCs w:val="24"/>
        </w:rPr>
        <w:t>при расчетах оценки плотности жилой застройки при проведении проектных работ и проведении экологической экспертизы транспортный критерий во внимание не принимается.</w:t>
      </w:r>
    </w:p>
    <w:p w:rsidR="00D94528" w:rsidRDefault="00BD6470" w:rsidP="00B6082B">
      <w:pPr>
        <w:ind w:firstLine="680"/>
        <w:rPr>
          <w:sz w:val="24"/>
          <w:szCs w:val="24"/>
        </w:rPr>
      </w:pPr>
      <w:r w:rsidRPr="0066379F">
        <w:rPr>
          <w:b/>
          <w:sz w:val="24"/>
          <w:szCs w:val="24"/>
        </w:rPr>
        <w:t>Результаты исследований и их обсуждение.</w:t>
      </w:r>
      <w:r w:rsidRPr="0066379F">
        <w:rPr>
          <w:sz w:val="24"/>
          <w:szCs w:val="24"/>
        </w:rPr>
        <w:t xml:space="preserve"> </w:t>
      </w:r>
      <w:r w:rsidR="00B6082B">
        <w:rPr>
          <w:sz w:val="24"/>
          <w:szCs w:val="24"/>
        </w:rPr>
        <w:t>В</w:t>
      </w:r>
      <w:r w:rsidR="00B6082B" w:rsidRPr="00B6082B">
        <w:rPr>
          <w:sz w:val="24"/>
          <w:szCs w:val="24"/>
        </w:rPr>
        <w:t xml:space="preserve"> соответствие с методикой</w:t>
      </w:r>
      <w:r w:rsidR="00B14079">
        <w:rPr>
          <w:sz w:val="24"/>
          <w:szCs w:val="24"/>
        </w:rPr>
        <w:t>,</w:t>
      </w:r>
      <w:r w:rsidR="00B6082B" w:rsidRPr="00B6082B">
        <w:rPr>
          <w:sz w:val="24"/>
          <w:szCs w:val="24"/>
        </w:rPr>
        <w:t xml:space="preserve"> </w:t>
      </w:r>
      <w:r w:rsidR="00B6082B">
        <w:rPr>
          <w:sz w:val="24"/>
          <w:szCs w:val="24"/>
        </w:rPr>
        <w:t xml:space="preserve">разработанной в </w:t>
      </w:r>
      <w:r w:rsidR="00B14079">
        <w:rPr>
          <w:sz w:val="24"/>
          <w:szCs w:val="24"/>
        </w:rPr>
        <w:t>НИУ-</w:t>
      </w:r>
      <w:r w:rsidR="00B6082B" w:rsidRPr="00B6082B">
        <w:rPr>
          <w:sz w:val="24"/>
          <w:szCs w:val="24"/>
        </w:rPr>
        <w:t>М</w:t>
      </w:r>
      <w:r w:rsidR="00B6082B">
        <w:rPr>
          <w:sz w:val="24"/>
          <w:szCs w:val="24"/>
        </w:rPr>
        <w:t>ГСУ</w:t>
      </w:r>
      <w:r w:rsidR="00B14079">
        <w:rPr>
          <w:sz w:val="24"/>
          <w:szCs w:val="24"/>
        </w:rPr>
        <w:t>,</w:t>
      </w:r>
      <w:r w:rsidR="00B6082B">
        <w:rPr>
          <w:sz w:val="24"/>
          <w:szCs w:val="24"/>
        </w:rPr>
        <w:t xml:space="preserve"> </w:t>
      </w:r>
      <w:r w:rsidR="00B6082B" w:rsidRPr="00B6082B">
        <w:rPr>
          <w:sz w:val="24"/>
          <w:szCs w:val="24"/>
        </w:rPr>
        <w:t xml:space="preserve">в период 21-24.04.2020 </w:t>
      </w:r>
      <w:r w:rsidR="00B6082B">
        <w:rPr>
          <w:sz w:val="24"/>
          <w:szCs w:val="24"/>
        </w:rPr>
        <w:t>осуществлено</w:t>
      </w:r>
      <w:r w:rsidR="00B6082B" w:rsidRPr="00B6082B">
        <w:rPr>
          <w:sz w:val="24"/>
          <w:szCs w:val="24"/>
        </w:rPr>
        <w:t xml:space="preserve"> изучение транспортной инфраструктуры жилого комплекса «Колбасино» </w:t>
      </w:r>
      <w:r w:rsidR="00D94528">
        <w:rPr>
          <w:sz w:val="24"/>
          <w:szCs w:val="24"/>
        </w:rPr>
        <w:t xml:space="preserve">(г. Гродно) </w:t>
      </w:r>
      <w:r w:rsidR="00B6082B" w:rsidRPr="00B6082B">
        <w:rPr>
          <w:sz w:val="24"/>
          <w:szCs w:val="24"/>
        </w:rPr>
        <w:t>и сбор данных, необходимых для расчёта и оценки показателя степени концентрации строительства по транспортному критерию</w:t>
      </w:r>
      <w:r w:rsidR="00BE6A6B">
        <w:rPr>
          <w:sz w:val="24"/>
          <w:szCs w:val="24"/>
        </w:rPr>
        <w:t>.</w:t>
      </w:r>
      <w:r w:rsidR="00B6082B">
        <w:rPr>
          <w:sz w:val="24"/>
          <w:szCs w:val="24"/>
        </w:rPr>
        <w:t xml:space="preserve"> </w:t>
      </w:r>
    </w:p>
    <w:p w:rsidR="00E900FC" w:rsidRDefault="00E900FC" w:rsidP="00B6082B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Общие экономические показатели </w:t>
      </w:r>
      <w:r w:rsidRPr="00E900FC">
        <w:rPr>
          <w:sz w:val="24"/>
          <w:szCs w:val="24"/>
        </w:rPr>
        <w:t>жилого комплекса «Колбасино»</w:t>
      </w:r>
      <w:r>
        <w:rPr>
          <w:sz w:val="24"/>
          <w:szCs w:val="24"/>
        </w:rPr>
        <w:t>:</w:t>
      </w:r>
      <w:r w:rsidRPr="00E900FC">
        <w:t xml:space="preserve"> </w:t>
      </w:r>
      <w:r w:rsidRPr="00E900FC">
        <w:rPr>
          <w:sz w:val="24"/>
          <w:szCs w:val="24"/>
        </w:rPr>
        <w:t xml:space="preserve">состоит из </w:t>
      </w:r>
      <w:r>
        <w:rPr>
          <w:sz w:val="24"/>
          <w:szCs w:val="24"/>
        </w:rPr>
        <w:t xml:space="preserve">14 </w:t>
      </w:r>
      <w:r w:rsidRPr="00E900FC">
        <w:rPr>
          <w:sz w:val="24"/>
          <w:szCs w:val="24"/>
        </w:rPr>
        <w:t xml:space="preserve">крупнопанельных секционных домов, высотных односекционных башенных домов по </w:t>
      </w:r>
      <w:proofErr w:type="gramStart"/>
      <w:r w:rsidRPr="00E900FC">
        <w:rPr>
          <w:sz w:val="24"/>
          <w:szCs w:val="24"/>
        </w:rPr>
        <w:t>индивидуальным проектам</w:t>
      </w:r>
      <w:proofErr w:type="gramEnd"/>
      <w:r w:rsidRPr="00E900FC">
        <w:rPr>
          <w:sz w:val="24"/>
          <w:szCs w:val="24"/>
        </w:rPr>
        <w:t xml:space="preserve"> с вариантной планировкой этажей, каркасно-монолитных домов со свободной планировкой квартир, объектов торгового и бытового обслуживания. </w:t>
      </w:r>
      <w:r w:rsidR="001C0E46">
        <w:rPr>
          <w:sz w:val="24"/>
          <w:szCs w:val="24"/>
        </w:rPr>
        <w:t xml:space="preserve">Период застройки 2016-2019 </w:t>
      </w:r>
      <w:proofErr w:type="spellStart"/>
      <w:r w:rsidR="001C0E46">
        <w:rPr>
          <w:sz w:val="24"/>
          <w:szCs w:val="24"/>
        </w:rPr>
        <w:t>г.г</w:t>
      </w:r>
      <w:proofErr w:type="spellEnd"/>
      <w:r w:rsidR="001C0E46">
        <w:rPr>
          <w:sz w:val="24"/>
          <w:szCs w:val="24"/>
        </w:rPr>
        <w:t xml:space="preserve">. </w:t>
      </w:r>
      <w:r w:rsidRPr="00E900FC">
        <w:rPr>
          <w:sz w:val="24"/>
          <w:szCs w:val="24"/>
        </w:rPr>
        <w:t xml:space="preserve">Этажность домов - от 3-х до 19-ти этажей. Общая статистика: </w:t>
      </w:r>
      <w:r w:rsidRPr="00E900FC">
        <w:rPr>
          <w:sz w:val="24"/>
          <w:szCs w:val="24"/>
        </w:rPr>
        <w:lastRenderedPageBreak/>
        <w:t>количество квартир – 1434 шт., общая площадь квартир – 91734 кв. м., расчетное количество жителей – 3760.</w:t>
      </w:r>
    </w:p>
    <w:p w:rsidR="00B309BE" w:rsidRDefault="00E900FC" w:rsidP="00BE6A6B">
      <w:pPr>
        <w:ind w:firstLine="680"/>
        <w:rPr>
          <w:sz w:val="24"/>
          <w:szCs w:val="24"/>
        </w:rPr>
      </w:pPr>
      <w:r>
        <w:rPr>
          <w:sz w:val="24"/>
          <w:szCs w:val="24"/>
        </w:rPr>
        <w:t>В результате проведенных измерений м</w:t>
      </w:r>
      <w:r w:rsidR="00B309BE" w:rsidRPr="0066379F">
        <w:rPr>
          <w:sz w:val="24"/>
          <w:szCs w:val="24"/>
        </w:rPr>
        <w:t xml:space="preserve">аксимальное значение </w:t>
      </w:r>
      <w:r>
        <w:rPr>
          <w:sz w:val="24"/>
          <w:szCs w:val="24"/>
        </w:rPr>
        <w:t xml:space="preserve">возможного </w:t>
      </w:r>
      <w:r w:rsidR="00B309BE" w:rsidRPr="0066379F">
        <w:rPr>
          <w:sz w:val="24"/>
          <w:szCs w:val="24"/>
        </w:rPr>
        <w:t xml:space="preserve">числа парковочных мест на территории жилого комплекса «Колбасино» </w:t>
      </w:r>
      <w:r w:rsidR="00BE6A6B">
        <w:rPr>
          <w:sz w:val="24"/>
          <w:szCs w:val="24"/>
        </w:rPr>
        <w:t>составило</w:t>
      </w:r>
      <w:r w:rsidR="00B309BE" w:rsidRPr="0066379F">
        <w:rPr>
          <w:sz w:val="24"/>
          <w:szCs w:val="24"/>
        </w:rPr>
        <w:t xml:space="preserve"> 1330 машиномест - с учетом организованных автостоянок и парковок, а также планируемого к застройке многоуровнего паркинга</w:t>
      </w:r>
      <w:r w:rsidR="00B45D09">
        <w:rPr>
          <w:sz w:val="24"/>
          <w:szCs w:val="24"/>
        </w:rPr>
        <w:t xml:space="preserve"> </w:t>
      </w:r>
      <w:r w:rsidR="001C0E46">
        <w:rPr>
          <w:sz w:val="24"/>
          <w:szCs w:val="24"/>
        </w:rPr>
        <w:t xml:space="preserve">торгового центра </w:t>
      </w:r>
      <w:r w:rsidR="00B45D09">
        <w:rPr>
          <w:sz w:val="24"/>
          <w:szCs w:val="24"/>
        </w:rPr>
        <w:t>на 300 машиномест.</w:t>
      </w:r>
      <w:r w:rsidR="00B309BE" w:rsidRPr="0066379F">
        <w:rPr>
          <w:sz w:val="24"/>
          <w:szCs w:val="24"/>
        </w:rPr>
        <w:t xml:space="preserve"> Расчет осуществлялся только по личному автотранспорту, т.к. на территории жилого комплекса отсутствуют объекты производственного, транспортного, административно-офисного и общественно-культурного назначения. </w:t>
      </w:r>
    </w:p>
    <w:p w:rsidR="0066379F" w:rsidRDefault="00026529" w:rsidP="00B309BE">
      <w:pPr>
        <w:ind w:firstLine="7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</w:t>
      </w:r>
      <w:r w:rsidR="00D94528">
        <w:rPr>
          <w:rFonts w:eastAsia="Calibri" w:cs="Times New Roman"/>
          <w:sz w:val="24"/>
          <w:szCs w:val="24"/>
        </w:rPr>
        <w:t>езультат</w:t>
      </w:r>
      <w:r>
        <w:rPr>
          <w:rFonts w:eastAsia="Calibri" w:cs="Times New Roman"/>
          <w:sz w:val="24"/>
          <w:szCs w:val="24"/>
        </w:rPr>
        <w:t>ы</w:t>
      </w:r>
      <w:r w:rsidR="00D94528">
        <w:rPr>
          <w:rFonts w:eastAsia="Calibri" w:cs="Times New Roman"/>
          <w:sz w:val="24"/>
          <w:szCs w:val="24"/>
        </w:rPr>
        <w:t xml:space="preserve"> произведенных </w:t>
      </w:r>
      <w:proofErr w:type="gramStart"/>
      <w:r w:rsidR="00D94528">
        <w:rPr>
          <w:rFonts w:eastAsia="Calibri" w:cs="Times New Roman"/>
          <w:sz w:val="24"/>
          <w:szCs w:val="24"/>
        </w:rPr>
        <w:t>р</w:t>
      </w:r>
      <w:r w:rsidR="00B309BE" w:rsidRPr="0066379F">
        <w:rPr>
          <w:rFonts w:eastAsia="Calibri" w:cs="Times New Roman"/>
          <w:sz w:val="24"/>
          <w:szCs w:val="24"/>
        </w:rPr>
        <w:t>асч</w:t>
      </w:r>
      <w:r w:rsidR="0066379F">
        <w:rPr>
          <w:rFonts w:eastAsia="Calibri" w:cs="Times New Roman"/>
          <w:sz w:val="24"/>
          <w:szCs w:val="24"/>
        </w:rPr>
        <w:t>ет</w:t>
      </w:r>
      <w:r w:rsidR="00D94528">
        <w:rPr>
          <w:rFonts w:eastAsia="Calibri" w:cs="Times New Roman"/>
          <w:sz w:val="24"/>
          <w:szCs w:val="24"/>
        </w:rPr>
        <w:t>ов</w:t>
      </w:r>
      <w:r w:rsidR="0066379F">
        <w:rPr>
          <w:rFonts w:eastAsia="Calibri" w:cs="Times New Roman"/>
          <w:sz w:val="24"/>
          <w:szCs w:val="24"/>
        </w:rPr>
        <w:t xml:space="preserve"> </w:t>
      </w:r>
      <w:r w:rsidR="00B309BE" w:rsidRPr="0066379F">
        <w:rPr>
          <w:rFonts w:eastAsia="Calibri" w:cs="Times New Roman"/>
          <w:sz w:val="24"/>
          <w:szCs w:val="24"/>
        </w:rPr>
        <w:t>величин коэффициента степени концентрации строительства</w:t>
      </w:r>
      <w:proofErr w:type="gramEnd"/>
      <w:r w:rsidR="00B309BE" w:rsidRPr="0066379F">
        <w:rPr>
          <w:rFonts w:eastAsia="Calibri" w:cs="Times New Roman"/>
          <w:sz w:val="24"/>
          <w:szCs w:val="24"/>
        </w:rPr>
        <w:t xml:space="preserve"> по транспортному критерию </w:t>
      </w:r>
      <w:r w:rsidR="00E1149B">
        <w:rPr>
          <w:rFonts w:eastAsia="Calibri" w:cs="Times New Roman"/>
          <w:sz w:val="24"/>
          <w:szCs w:val="24"/>
        </w:rPr>
        <w:t xml:space="preserve">при разных технологических нормативах отражены в </w:t>
      </w:r>
      <w:r w:rsidR="00B309BE" w:rsidRPr="0066379F">
        <w:rPr>
          <w:rFonts w:eastAsia="Calibri" w:cs="Times New Roman"/>
          <w:sz w:val="24"/>
          <w:szCs w:val="24"/>
        </w:rPr>
        <w:t>таб</w:t>
      </w:r>
      <w:r w:rsidR="00E1149B">
        <w:rPr>
          <w:rFonts w:eastAsia="Calibri" w:cs="Times New Roman"/>
          <w:sz w:val="24"/>
          <w:szCs w:val="24"/>
        </w:rPr>
        <w:t>лице</w:t>
      </w:r>
      <w:r w:rsidR="00B309BE" w:rsidRPr="0066379F">
        <w:rPr>
          <w:rFonts w:eastAsia="Calibri" w:cs="Times New Roman"/>
          <w:sz w:val="24"/>
          <w:szCs w:val="24"/>
        </w:rPr>
        <w:t xml:space="preserve"> </w:t>
      </w:r>
      <w:r w:rsidR="006D582A">
        <w:rPr>
          <w:rFonts w:eastAsia="Calibri" w:cs="Times New Roman"/>
          <w:sz w:val="24"/>
          <w:szCs w:val="24"/>
        </w:rPr>
        <w:t>2</w:t>
      </w:r>
      <w:r w:rsidR="00B309BE" w:rsidRPr="0066379F">
        <w:rPr>
          <w:rFonts w:eastAsia="Calibri" w:cs="Times New Roman"/>
          <w:sz w:val="24"/>
          <w:szCs w:val="24"/>
        </w:rPr>
        <w:t>:</w:t>
      </w:r>
    </w:p>
    <w:p w:rsidR="00E1149B" w:rsidRDefault="00E1149B" w:rsidP="00B309BE">
      <w:pPr>
        <w:ind w:firstLine="708"/>
        <w:rPr>
          <w:rFonts w:eastAsia="Calibri" w:cs="Times New Roman"/>
          <w:sz w:val="24"/>
          <w:szCs w:val="24"/>
        </w:rPr>
      </w:pPr>
    </w:p>
    <w:p w:rsidR="00B309BE" w:rsidRDefault="00B309BE" w:rsidP="00B309BE">
      <w:pPr>
        <w:ind w:firstLine="708"/>
        <w:rPr>
          <w:rFonts w:eastAsia="Calibri" w:cs="Times New Roman"/>
          <w:sz w:val="24"/>
          <w:szCs w:val="24"/>
        </w:rPr>
      </w:pPr>
      <w:r w:rsidRPr="005D75F4">
        <w:rPr>
          <w:rFonts w:eastAsia="Calibri" w:cs="Times New Roman"/>
          <w:sz w:val="24"/>
          <w:szCs w:val="24"/>
        </w:rPr>
        <w:t xml:space="preserve">Таблица </w:t>
      </w:r>
      <w:r w:rsidR="006D582A">
        <w:rPr>
          <w:rFonts w:eastAsia="Calibri" w:cs="Times New Roman"/>
          <w:sz w:val="24"/>
          <w:szCs w:val="24"/>
        </w:rPr>
        <w:t>2</w:t>
      </w:r>
      <w:r w:rsidRPr="005D75F4">
        <w:rPr>
          <w:rFonts w:eastAsia="Calibri" w:cs="Times New Roman"/>
          <w:sz w:val="24"/>
          <w:szCs w:val="24"/>
        </w:rPr>
        <w:t>. Расчет</w:t>
      </w:r>
      <w:r w:rsidR="00D94528">
        <w:rPr>
          <w:rFonts w:eastAsia="Calibri" w:cs="Times New Roman"/>
          <w:sz w:val="24"/>
          <w:szCs w:val="24"/>
        </w:rPr>
        <w:t>ные</w:t>
      </w:r>
      <w:r w:rsidRPr="005D75F4">
        <w:rPr>
          <w:rFonts w:eastAsia="Calibri" w:cs="Times New Roman"/>
          <w:sz w:val="24"/>
          <w:szCs w:val="24"/>
        </w:rPr>
        <w:t xml:space="preserve"> коэффициент</w:t>
      </w:r>
      <w:r w:rsidR="00D94528">
        <w:rPr>
          <w:rFonts w:eastAsia="Calibri" w:cs="Times New Roman"/>
          <w:sz w:val="24"/>
          <w:szCs w:val="24"/>
        </w:rPr>
        <w:t>ы</w:t>
      </w:r>
      <w:r w:rsidRPr="005D75F4">
        <w:rPr>
          <w:rFonts w:eastAsia="Calibri" w:cs="Times New Roman"/>
          <w:sz w:val="24"/>
          <w:szCs w:val="24"/>
        </w:rPr>
        <w:t xml:space="preserve"> степени концентрации строительства по транспортному критерию для жилого микрорайона «Колбасино»</w:t>
      </w:r>
    </w:p>
    <w:p w:rsidR="00B309BE" w:rsidRPr="005D75F4" w:rsidRDefault="00B309BE" w:rsidP="00B309BE">
      <w:pPr>
        <w:ind w:firstLine="708"/>
        <w:rPr>
          <w:rFonts w:eastAsia="Calibri" w:cs="Times New Roman"/>
          <w:sz w:val="24"/>
          <w:szCs w:val="24"/>
        </w:rPr>
      </w:pPr>
    </w:p>
    <w:tbl>
      <w:tblPr>
        <w:tblStyle w:val="a5"/>
        <w:tblW w:w="777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60"/>
        <w:gridCol w:w="1675"/>
        <w:gridCol w:w="1701"/>
        <w:gridCol w:w="1696"/>
        <w:gridCol w:w="1542"/>
      </w:tblGrid>
      <w:tr w:rsidR="00B309BE" w:rsidTr="006C3876">
        <w:tc>
          <w:tcPr>
            <w:tcW w:w="1160" w:type="dxa"/>
          </w:tcPr>
          <w:p w:rsidR="008E7AE2" w:rsidRDefault="008E7AE2" w:rsidP="0049212C">
            <w:pPr>
              <w:jc w:val="center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E7AE2" w:rsidRDefault="008E7AE2" w:rsidP="0049212C">
            <w:pPr>
              <w:jc w:val="center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B309BE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Расчетные </w:t>
            </w:r>
          </w:p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75" w:type="dxa"/>
          </w:tcPr>
          <w:p w:rsidR="008E7AE2" w:rsidRDefault="008E7AE2" w:rsidP="0049212C">
            <w:pPr>
              <w:jc w:val="center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B309BE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Минимальные технологические нормы ТКП </w:t>
            </w:r>
          </w:p>
          <w:p w:rsidR="00B86B32" w:rsidRPr="00B86B32" w:rsidRDefault="00B309BE" w:rsidP="008E7A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45-3.01-116-</w:t>
            </w:r>
            <w:r w:rsidR="008E7AE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008 </w:t>
            </w:r>
          </w:p>
        </w:tc>
        <w:tc>
          <w:tcPr>
            <w:tcW w:w="1701" w:type="dxa"/>
          </w:tcPr>
          <w:p w:rsidR="00B309BE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Технологические нормы ТКП</w:t>
            </w:r>
          </w:p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45-3.01-116-2008 (по количеству квартир)</w:t>
            </w:r>
          </w:p>
        </w:tc>
        <w:tc>
          <w:tcPr>
            <w:tcW w:w="1696" w:type="dxa"/>
          </w:tcPr>
          <w:p w:rsidR="007D1DDD" w:rsidRDefault="00B309BE" w:rsidP="0049212C">
            <w:pPr>
              <w:jc w:val="center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Статистические данные по автомобилизации Гродненского региона</w:t>
            </w:r>
            <w:r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B86B32" w:rsidRPr="00B86B32" w:rsidRDefault="007D1DDD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(на </w:t>
            </w:r>
            <w:r w:rsidRPr="007D1DDD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01.01.2019</w:t>
            </w:r>
            <w:r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)</w:t>
            </w:r>
            <w:r w:rsidRPr="007D1DDD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B309BE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8E7AE2" w:rsidRDefault="008E7AE2" w:rsidP="0049212C">
            <w:pPr>
              <w:jc w:val="center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Максимально допустимое количество автотранспорта</w:t>
            </w:r>
          </w:p>
        </w:tc>
      </w:tr>
      <w:tr w:rsidR="00B309BE" w:rsidTr="006C3876">
        <w:tc>
          <w:tcPr>
            <w:tcW w:w="1160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675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1542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0,65</w:t>
            </w:r>
          </w:p>
        </w:tc>
      </w:tr>
      <w:tr w:rsidR="00B309BE" w:rsidTr="006C3876">
        <w:tc>
          <w:tcPr>
            <w:tcW w:w="1160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6B32">
              <w:rPr>
                <w:rFonts w:eastAsia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N</w:t>
            </w: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sk</w:t>
            </w:r>
            <w:proofErr w:type="spellEnd"/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, (штук)</w:t>
            </w:r>
          </w:p>
        </w:tc>
        <w:tc>
          <w:tcPr>
            <w:tcW w:w="1675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701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696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542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2444</w:t>
            </w:r>
          </w:p>
        </w:tc>
      </w:tr>
      <w:tr w:rsidR="00B309BE" w:rsidTr="006C3876">
        <w:tc>
          <w:tcPr>
            <w:tcW w:w="1160" w:type="dxa"/>
          </w:tcPr>
          <w:p w:rsidR="00B309BE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 xml:space="preserve">M </w:t>
            </w: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val="en-US" w:eastAsia="ru-RU"/>
              </w:rPr>
              <w:t>max</w:t>
            </w: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</w:p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(машино-мест)</w:t>
            </w:r>
          </w:p>
        </w:tc>
        <w:tc>
          <w:tcPr>
            <w:tcW w:w="1675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701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696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542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1330</w:t>
            </w:r>
          </w:p>
        </w:tc>
      </w:tr>
      <w:tr w:rsidR="00B309BE" w:rsidTr="006C3876">
        <w:tc>
          <w:tcPr>
            <w:tcW w:w="1160" w:type="dxa"/>
          </w:tcPr>
          <w:p w:rsidR="00B86B32" w:rsidRPr="00B86B32" w:rsidRDefault="00B309BE" w:rsidP="00492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sk</w:t>
            </w:r>
            <w:proofErr w:type="spellEnd"/>
          </w:p>
        </w:tc>
        <w:tc>
          <w:tcPr>
            <w:tcW w:w="1675" w:type="dxa"/>
          </w:tcPr>
          <w:p w:rsidR="00B86B32" w:rsidRPr="00B86B32" w:rsidRDefault="00B309BE" w:rsidP="00120F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0,99</w:t>
            </w:r>
            <w:r w:rsidR="00120F2F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86B32" w:rsidRPr="00EF2492" w:rsidRDefault="00B309BE" w:rsidP="00EF24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1,08</w:t>
            </w:r>
            <w:r w:rsidR="00EF2492">
              <w:rPr>
                <w:rFonts w:eastAsia="Calibri" w:cs="Times New Roman"/>
                <w:color w:val="000000"/>
                <w:kern w:val="24"/>
                <w:sz w:val="20"/>
                <w:szCs w:val="20"/>
                <w:lang w:val="en-US" w:eastAsia="ru-RU"/>
              </w:rPr>
              <w:t>(*)</w:t>
            </w:r>
          </w:p>
        </w:tc>
        <w:tc>
          <w:tcPr>
            <w:tcW w:w="1696" w:type="dxa"/>
          </w:tcPr>
          <w:p w:rsidR="00B86B32" w:rsidRPr="00B86B32" w:rsidRDefault="00B309BE" w:rsidP="00120F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1,03</w:t>
            </w:r>
            <w:r w:rsidR="00120F2F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B86B32" w:rsidRPr="00B86B32" w:rsidRDefault="00B309BE" w:rsidP="00120F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B32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>1,84</w:t>
            </w:r>
            <w:r w:rsidR="00120F2F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309BE" w:rsidRDefault="00B309BE" w:rsidP="00B309BE">
      <w:pPr>
        <w:ind w:firstLine="708"/>
        <w:rPr>
          <w:rFonts w:eastAsia="Calibri" w:cs="Times New Roman"/>
        </w:rPr>
      </w:pPr>
    </w:p>
    <w:p w:rsidR="0066379F" w:rsidRPr="003A52DC" w:rsidRDefault="00BD6470" w:rsidP="0066379F">
      <w:pPr>
        <w:rPr>
          <w:sz w:val="24"/>
          <w:szCs w:val="24"/>
        </w:rPr>
      </w:pPr>
      <w:r w:rsidRPr="00CE5A1B">
        <w:tab/>
      </w:r>
      <w:r w:rsidR="0066379F" w:rsidRPr="003A52DC">
        <w:rPr>
          <w:sz w:val="24"/>
          <w:szCs w:val="24"/>
        </w:rPr>
        <w:t>В</w:t>
      </w:r>
      <w:r w:rsidR="00D109DF" w:rsidRPr="003A52DC">
        <w:rPr>
          <w:sz w:val="24"/>
          <w:szCs w:val="24"/>
        </w:rPr>
        <w:t xml:space="preserve"> качестве выводов </w:t>
      </w:r>
      <w:r w:rsidR="0066379F" w:rsidRPr="003A52DC">
        <w:rPr>
          <w:sz w:val="24"/>
          <w:szCs w:val="24"/>
        </w:rPr>
        <w:t>по результатам исследования</w:t>
      </w:r>
      <w:r w:rsidR="00D109DF" w:rsidRPr="003A52DC">
        <w:rPr>
          <w:sz w:val="24"/>
          <w:szCs w:val="24"/>
        </w:rPr>
        <w:t xml:space="preserve"> необходимо отметить</w:t>
      </w:r>
      <w:r w:rsidR="0066379F" w:rsidRPr="003A52DC">
        <w:rPr>
          <w:sz w:val="24"/>
          <w:szCs w:val="24"/>
        </w:rPr>
        <w:t>:</w:t>
      </w:r>
    </w:p>
    <w:p w:rsidR="00B6082B" w:rsidRPr="003A52DC" w:rsidRDefault="0066379F" w:rsidP="00B95F32">
      <w:pPr>
        <w:ind w:firstLine="708"/>
        <w:rPr>
          <w:sz w:val="24"/>
          <w:szCs w:val="24"/>
        </w:rPr>
      </w:pPr>
      <w:r w:rsidRPr="003A52DC">
        <w:rPr>
          <w:sz w:val="24"/>
          <w:szCs w:val="24"/>
        </w:rPr>
        <w:t xml:space="preserve">1. </w:t>
      </w:r>
      <w:proofErr w:type="gramStart"/>
      <w:r w:rsidR="00D109DF" w:rsidRPr="003A52DC">
        <w:rPr>
          <w:sz w:val="24"/>
          <w:szCs w:val="24"/>
        </w:rPr>
        <w:t>В соответствии с</w:t>
      </w:r>
      <w:r w:rsidRPr="003A52DC">
        <w:rPr>
          <w:sz w:val="24"/>
          <w:szCs w:val="24"/>
        </w:rPr>
        <w:t xml:space="preserve"> критери</w:t>
      </w:r>
      <w:r w:rsidR="00D109DF" w:rsidRPr="003A52DC">
        <w:rPr>
          <w:sz w:val="24"/>
          <w:szCs w:val="24"/>
        </w:rPr>
        <w:t>ями</w:t>
      </w:r>
      <w:r w:rsidRPr="003A52DC">
        <w:rPr>
          <w:sz w:val="24"/>
          <w:szCs w:val="24"/>
        </w:rPr>
        <w:t xml:space="preserve"> исследуемой методики расчета показателя коэффициента степени концентрации строительства по транспортному критерию, </w:t>
      </w:r>
      <w:proofErr w:type="spellStart"/>
      <w:r w:rsidRPr="003A52DC">
        <w:rPr>
          <w:b/>
          <w:sz w:val="24"/>
          <w:szCs w:val="24"/>
        </w:rPr>
        <w:t>Ksk</w:t>
      </w:r>
      <w:proofErr w:type="spellEnd"/>
      <w:r w:rsidRPr="003A52DC">
        <w:rPr>
          <w:sz w:val="24"/>
          <w:szCs w:val="24"/>
        </w:rPr>
        <w:t xml:space="preserve"> </w:t>
      </w:r>
      <w:r w:rsidR="00B95F32" w:rsidRPr="003A52DC">
        <w:rPr>
          <w:sz w:val="24"/>
          <w:szCs w:val="24"/>
        </w:rPr>
        <w:t xml:space="preserve">лишь </w:t>
      </w:r>
      <w:r w:rsidRPr="003A52DC">
        <w:rPr>
          <w:sz w:val="24"/>
          <w:szCs w:val="24"/>
        </w:rPr>
        <w:t>незначительно превышает 1</w:t>
      </w:r>
      <w:r w:rsidR="00EF2492" w:rsidRPr="00EF2492">
        <w:rPr>
          <w:sz w:val="24"/>
          <w:szCs w:val="24"/>
        </w:rPr>
        <w:t xml:space="preserve"> (*)</w:t>
      </w:r>
      <w:r w:rsidRPr="003A52DC">
        <w:rPr>
          <w:sz w:val="24"/>
          <w:szCs w:val="24"/>
        </w:rPr>
        <w:t xml:space="preserve">. Таким образом, в н.в. концентрация строительства на рассмотренной территории является максимально допустимой и дальнейшее расширение жилого комплекса без учета развития транспортной инфраструктуры приведет к ухудшению благоприятной среды обитания, безопасности и качества жизни населения. </w:t>
      </w:r>
      <w:proofErr w:type="gramEnd"/>
    </w:p>
    <w:p w:rsidR="0066379F" w:rsidRPr="003A52DC" w:rsidRDefault="00B6082B" w:rsidP="00B95F32">
      <w:pPr>
        <w:ind w:firstLine="708"/>
        <w:rPr>
          <w:sz w:val="24"/>
          <w:szCs w:val="24"/>
        </w:rPr>
      </w:pPr>
      <w:r w:rsidRPr="003A52DC">
        <w:rPr>
          <w:sz w:val="24"/>
          <w:szCs w:val="24"/>
        </w:rPr>
        <w:t xml:space="preserve">Возможности транспортной инфраструктуры жилого комплекса «Колбасино» и близлежащих </w:t>
      </w:r>
      <w:r w:rsidR="006D582A" w:rsidRPr="003A52DC">
        <w:rPr>
          <w:sz w:val="24"/>
          <w:szCs w:val="24"/>
        </w:rPr>
        <w:t xml:space="preserve">смежных </w:t>
      </w:r>
      <w:r w:rsidRPr="003A52DC">
        <w:rPr>
          <w:sz w:val="24"/>
          <w:szCs w:val="24"/>
        </w:rPr>
        <w:t>микрорайонов (в т.ч. при владении жителями одновременно несколькими личными автомобилями), могут быть расширены за счет перспективной постройки многоуровнего паркинга</w:t>
      </w:r>
      <w:r w:rsidR="005B0999" w:rsidRPr="005B0999">
        <w:rPr>
          <w:sz w:val="24"/>
          <w:szCs w:val="24"/>
        </w:rPr>
        <w:t xml:space="preserve"> (</w:t>
      </w:r>
      <w:r w:rsidR="005B0999">
        <w:rPr>
          <w:sz w:val="24"/>
          <w:szCs w:val="24"/>
        </w:rPr>
        <w:t>удаление 500 метров)</w:t>
      </w:r>
      <w:r w:rsidRPr="003A52DC">
        <w:rPr>
          <w:sz w:val="24"/>
          <w:szCs w:val="24"/>
        </w:rPr>
        <w:t>.</w:t>
      </w:r>
    </w:p>
    <w:p w:rsidR="00BD6470" w:rsidRPr="003A52DC" w:rsidRDefault="0036432E" w:rsidP="00B95F32">
      <w:pPr>
        <w:ind w:firstLine="708"/>
        <w:rPr>
          <w:sz w:val="24"/>
          <w:szCs w:val="24"/>
        </w:rPr>
      </w:pPr>
      <w:r w:rsidRPr="003A52DC">
        <w:rPr>
          <w:sz w:val="24"/>
          <w:szCs w:val="24"/>
        </w:rPr>
        <w:t>2</w:t>
      </w:r>
      <w:r w:rsidR="0066379F" w:rsidRPr="003A52DC">
        <w:rPr>
          <w:sz w:val="24"/>
          <w:szCs w:val="24"/>
        </w:rPr>
        <w:t xml:space="preserve">. </w:t>
      </w:r>
      <w:r w:rsidR="005B0999">
        <w:rPr>
          <w:sz w:val="24"/>
          <w:szCs w:val="24"/>
        </w:rPr>
        <w:t>Разработанная НИУ-МСГУ м</w:t>
      </w:r>
      <w:r w:rsidRPr="003A52DC">
        <w:rPr>
          <w:sz w:val="24"/>
          <w:szCs w:val="24"/>
        </w:rPr>
        <w:t xml:space="preserve">атематическая модель расчета позволяет объективно оценить плотность жилой застройки по транспортному критерию и существующий экологический фон территории, а также возможное наличие (либо отсутствие) экологического резерва оцениваемой территории для принятия решения о возможном новом строительстве или реконструкции.  </w:t>
      </w:r>
    </w:p>
    <w:p w:rsidR="00EF2F9F" w:rsidRDefault="00EF2F9F"/>
    <w:p w:rsidR="00BF30B9" w:rsidRDefault="00EF70D0" w:rsidP="00B81BE2">
      <w:pPr>
        <w:ind w:firstLine="708"/>
        <w:rPr>
          <w:sz w:val="24"/>
          <w:szCs w:val="24"/>
        </w:rPr>
      </w:pPr>
      <w:r w:rsidRPr="00EF70D0">
        <w:rPr>
          <w:b/>
          <w:sz w:val="24"/>
          <w:szCs w:val="24"/>
        </w:rPr>
        <w:t>З</w:t>
      </w:r>
      <w:r w:rsidR="00B81BE2">
        <w:rPr>
          <w:b/>
          <w:sz w:val="24"/>
          <w:szCs w:val="24"/>
        </w:rPr>
        <w:t xml:space="preserve">аключение. </w:t>
      </w:r>
      <w:r w:rsidRPr="00EF70D0">
        <w:rPr>
          <w:sz w:val="24"/>
          <w:szCs w:val="24"/>
        </w:rPr>
        <w:t>Результаты проведенных исследований</w:t>
      </w:r>
      <w:r>
        <w:rPr>
          <w:sz w:val="24"/>
          <w:szCs w:val="24"/>
        </w:rPr>
        <w:t xml:space="preserve"> показали, что о</w:t>
      </w:r>
      <w:r w:rsidRPr="00EF70D0">
        <w:rPr>
          <w:sz w:val="24"/>
          <w:szCs w:val="24"/>
        </w:rPr>
        <w:t>ценка степени концентрации строительства по транспортному критерию позволяет объективно оценивать и прогнозировать концентрацию строительства на селитебной территории больших городов и на прилегающих к ним территориях, прежде всего с точки зрения в</w:t>
      </w:r>
      <w:r w:rsidR="00656EB3">
        <w:rPr>
          <w:sz w:val="24"/>
          <w:szCs w:val="24"/>
        </w:rPr>
        <w:t>оздействия</w:t>
      </w:r>
      <w:r w:rsidRPr="00EF70D0">
        <w:rPr>
          <w:sz w:val="24"/>
          <w:szCs w:val="24"/>
        </w:rPr>
        <w:t xml:space="preserve"> техногенной нагрузки на </w:t>
      </w:r>
      <w:r w:rsidR="00656EB3" w:rsidRPr="00656EB3">
        <w:rPr>
          <w:sz w:val="24"/>
          <w:szCs w:val="24"/>
        </w:rPr>
        <w:t>окружающую среду</w:t>
      </w:r>
      <w:r w:rsidR="00656EB3">
        <w:rPr>
          <w:sz w:val="24"/>
          <w:szCs w:val="24"/>
        </w:rPr>
        <w:t xml:space="preserve"> и </w:t>
      </w:r>
      <w:r w:rsidRPr="00EF70D0">
        <w:rPr>
          <w:sz w:val="24"/>
          <w:szCs w:val="24"/>
        </w:rPr>
        <w:t xml:space="preserve">экологическую </w:t>
      </w:r>
      <w:r w:rsidR="00656EB3">
        <w:rPr>
          <w:sz w:val="24"/>
          <w:szCs w:val="24"/>
        </w:rPr>
        <w:t>безопасность</w:t>
      </w:r>
      <w:r w:rsidR="007D5BD3">
        <w:rPr>
          <w:sz w:val="24"/>
          <w:szCs w:val="24"/>
        </w:rPr>
        <w:t xml:space="preserve"> территории</w:t>
      </w:r>
      <w:r w:rsidRPr="00EF70D0">
        <w:rPr>
          <w:sz w:val="24"/>
          <w:szCs w:val="24"/>
        </w:rPr>
        <w:t xml:space="preserve">. </w:t>
      </w:r>
    </w:p>
    <w:p w:rsidR="0036432E" w:rsidRPr="0036432E" w:rsidRDefault="0036432E" w:rsidP="00EF70D0">
      <w:pPr>
        <w:ind w:firstLine="708"/>
        <w:rPr>
          <w:sz w:val="24"/>
          <w:szCs w:val="24"/>
        </w:rPr>
      </w:pPr>
      <w:r w:rsidRPr="0036432E">
        <w:rPr>
          <w:sz w:val="24"/>
          <w:szCs w:val="24"/>
        </w:rPr>
        <w:t xml:space="preserve">В сравнительном отношении с технологическими нормами ТКП 45-3.01-116-2008 «ГРАДОСТРОИТЕЛЬСТВО. НАСЕЛЕННЫЕ ПУНКТЫ. Нормы планировки и застройки», </w:t>
      </w:r>
      <w:proofErr w:type="gramStart"/>
      <w:r w:rsidRPr="0036432E">
        <w:rPr>
          <w:sz w:val="24"/>
          <w:szCs w:val="24"/>
        </w:rPr>
        <w:lastRenderedPageBreak/>
        <w:t>определяющими</w:t>
      </w:r>
      <w:proofErr w:type="gramEnd"/>
      <w:r w:rsidRPr="0036432E">
        <w:rPr>
          <w:sz w:val="24"/>
          <w:szCs w:val="24"/>
        </w:rPr>
        <w:t xml:space="preserve"> требования к проектированию транспортной инфраструктуры территорий многоквартирной жилой застройки, расчетные показатели коэффициента степени концентрации строительства по транспортному критерию (</w:t>
      </w:r>
      <w:proofErr w:type="spellStart"/>
      <w:r w:rsidRPr="0036432E">
        <w:rPr>
          <w:b/>
          <w:sz w:val="24"/>
          <w:szCs w:val="24"/>
        </w:rPr>
        <w:t>Ksk</w:t>
      </w:r>
      <w:proofErr w:type="spellEnd"/>
      <w:r w:rsidRPr="0036432E">
        <w:rPr>
          <w:sz w:val="24"/>
          <w:szCs w:val="24"/>
        </w:rPr>
        <w:t>) различаются незначительно (см. таб.</w:t>
      </w:r>
      <w:r w:rsidR="0061212A">
        <w:rPr>
          <w:sz w:val="24"/>
          <w:szCs w:val="24"/>
        </w:rPr>
        <w:t xml:space="preserve"> </w:t>
      </w:r>
      <w:r w:rsidR="00B81BE2">
        <w:rPr>
          <w:sz w:val="24"/>
          <w:szCs w:val="24"/>
        </w:rPr>
        <w:t>2</w:t>
      </w:r>
      <w:r w:rsidRPr="0036432E">
        <w:rPr>
          <w:sz w:val="24"/>
          <w:szCs w:val="24"/>
        </w:rPr>
        <w:t xml:space="preserve">).    </w:t>
      </w:r>
    </w:p>
    <w:p w:rsidR="00EF70D0" w:rsidRPr="00EF70D0" w:rsidRDefault="00EF70D0" w:rsidP="00EF70D0">
      <w:pPr>
        <w:ind w:firstLine="708"/>
        <w:rPr>
          <w:sz w:val="24"/>
          <w:szCs w:val="24"/>
        </w:rPr>
      </w:pPr>
      <w:r w:rsidRPr="00EF70D0">
        <w:rPr>
          <w:sz w:val="24"/>
          <w:szCs w:val="24"/>
        </w:rPr>
        <w:t>Результаты исследований актуа</w:t>
      </w:r>
      <w:r w:rsidR="00656EB3">
        <w:rPr>
          <w:sz w:val="24"/>
          <w:szCs w:val="24"/>
        </w:rPr>
        <w:t xml:space="preserve">льны и могут быть использованы </w:t>
      </w:r>
      <w:r w:rsidRPr="00EF70D0">
        <w:rPr>
          <w:sz w:val="24"/>
          <w:szCs w:val="24"/>
        </w:rPr>
        <w:t xml:space="preserve">на этапе разработки предпроектной (предынвестиционной) документация с целью оценки потенциального воздействия </w:t>
      </w:r>
      <w:r w:rsidR="00453E55">
        <w:rPr>
          <w:sz w:val="24"/>
          <w:szCs w:val="24"/>
        </w:rPr>
        <w:t xml:space="preserve">строительного объекта </w:t>
      </w:r>
      <w:r w:rsidRPr="00EF70D0">
        <w:rPr>
          <w:sz w:val="24"/>
          <w:szCs w:val="24"/>
        </w:rPr>
        <w:t>на окружающую среду и на условия для проживания и здоровья населения.</w:t>
      </w:r>
    </w:p>
    <w:p w:rsidR="00BF30B9" w:rsidRPr="00EF70D0" w:rsidRDefault="00BF30B9" w:rsidP="00BF30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</w:t>
      </w:r>
      <w:r w:rsidRPr="00BF30B9"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получения </w:t>
      </w:r>
      <w:r w:rsidRPr="00BF30B9">
        <w:rPr>
          <w:sz w:val="24"/>
          <w:szCs w:val="24"/>
        </w:rPr>
        <w:t xml:space="preserve">окончательного и объективного вывода </w:t>
      </w:r>
      <w:r w:rsidR="00656EB3">
        <w:rPr>
          <w:sz w:val="24"/>
          <w:szCs w:val="24"/>
        </w:rPr>
        <w:t>о возможности применения вышеуказанной методики в градостроительной деятельности на территории Республики Беларусь, ц</w:t>
      </w:r>
      <w:r w:rsidR="00656EB3" w:rsidRPr="00BF30B9">
        <w:rPr>
          <w:sz w:val="24"/>
          <w:szCs w:val="24"/>
        </w:rPr>
        <w:t>елесообразно продолжить исследования в данной области</w:t>
      </w:r>
      <w:r w:rsidR="00656EB3">
        <w:rPr>
          <w:sz w:val="24"/>
          <w:szCs w:val="24"/>
        </w:rPr>
        <w:t>.</w:t>
      </w:r>
    </w:p>
    <w:p w:rsidR="00B95F32" w:rsidRDefault="0036432E" w:rsidP="00B95F3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1473" w:rsidRPr="00D94528" w:rsidRDefault="00C51473" w:rsidP="00C51473">
      <w:pPr>
        <w:jc w:val="center"/>
        <w:rPr>
          <w:sz w:val="24"/>
          <w:szCs w:val="24"/>
        </w:rPr>
      </w:pPr>
    </w:p>
    <w:p w:rsidR="00C51473" w:rsidRPr="00D94528" w:rsidRDefault="00C51473" w:rsidP="00C51473">
      <w:pPr>
        <w:jc w:val="center"/>
        <w:rPr>
          <w:sz w:val="24"/>
          <w:szCs w:val="24"/>
        </w:rPr>
      </w:pPr>
    </w:p>
    <w:p w:rsidR="00B95F32" w:rsidRPr="00D94528" w:rsidRDefault="00B95F32" w:rsidP="00C51473">
      <w:pPr>
        <w:jc w:val="center"/>
        <w:rPr>
          <w:sz w:val="24"/>
          <w:szCs w:val="24"/>
        </w:rPr>
      </w:pPr>
    </w:p>
    <w:p w:rsidR="009E7EE8" w:rsidRPr="00D94528" w:rsidRDefault="009E7EE8" w:rsidP="00C51473">
      <w:pPr>
        <w:jc w:val="center"/>
        <w:rPr>
          <w:sz w:val="24"/>
          <w:szCs w:val="24"/>
        </w:rPr>
      </w:pPr>
    </w:p>
    <w:p w:rsidR="009E7EE8" w:rsidRPr="00D94528" w:rsidRDefault="009E7EE8" w:rsidP="00C51473">
      <w:pPr>
        <w:jc w:val="center"/>
        <w:rPr>
          <w:sz w:val="24"/>
          <w:szCs w:val="24"/>
        </w:rPr>
      </w:pPr>
    </w:p>
    <w:p w:rsidR="009E7EE8" w:rsidRPr="00D94528" w:rsidRDefault="009E7EE8" w:rsidP="00C51473">
      <w:pPr>
        <w:jc w:val="center"/>
        <w:rPr>
          <w:sz w:val="24"/>
          <w:szCs w:val="24"/>
        </w:rPr>
      </w:pPr>
    </w:p>
    <w:p w:rsidR="009E7EE8" w:rsidRPr="00D94528" w:rsidRDefault="009E7EE8" w:rsidP="00C51473">
      <w:pPr>
        <w:jc w:val="center"/>
        <w:rPr>
          <w:sz w:val="24"/>
          <w:szCs w:val="24"/>
        </w:rPr>
      </w:pPr>
    </w:p>
    <w:p w:rsidR="009E7EE8" w:rsidRPr="00D94528" w:rsidRDefault="009E7EE8" w:rsidP="00C51473">
      <w:pPr>
        <w:jc w:val="center"/>
        <w:rPr>
          <w:sz w:val="24"/>
          <w:szCs w:val="24"/>
        </w:rPr>
      </w:pPr>
    </w:p>
    <w:p w:rsidR="009E7EE8" w:rsidRPr="00D94528" w:rsidRDefault="009E7EE8" w:rsidP="00C51473">
      <w:pPr>
        <w:jc w:val="center"/>
        <w:rPr>
          <w:sz w:val="24"/>
          <w:szCs w:val="24"/>
        </w:rPr>
      </w:pPr>
    </w:p>
    <w:p w:rsidR="009E7EE8" w:rsidRPr="00D94528" w:rsidRDefault="009E7EE8" w:rsidP="00C51473">
      <w:pPr>
        <w:jc w:val="center"/>
        <w:rPr>
          <w:sz w:val="24"/>
          <w:szCs w:val="24"/>
        </w:rPr>
      </w:pPr>
    </w:p>
    <w:p w:rsidR="009E7EE8" w:rsidRDefault="009E7EE8" w:rsidP="00C51473">
      <w:pPr>
        <w:jc w:val="center"/>
        <w:rPr>
          <w:i/>
          <w:sz w:val="24"/>
          <w:szCs w:val="24"/>
        </w:rPr>
      </w:pPr>
    </w:p>
    <w:p w:rsidR="009E7EE8" w:rsidRDefault="009E7EE8" w:rsidP="00C51473">
      <w:pPr>
        <w:jc w:val="center"/>
        <w:rPr>
          <w:i/>
          <w:sz w:val="24"/>
          <w:szCs w:val="24"/>
        </w:rPr>
      </w:pPr>
    </w:p>
    <w:p w:rsidR="009E7EE8" w:rsidRDefault="009E7EE8" w:rsidP="00C51473">
      <w:pPr>
        <w:jc w:val="center"/>
        <w:rPr>
          <w:i/>
          <w:sz w:val="24"/>
          <w:szCs w:val="24"/>
        </w:rPr>
      </w:pPr>
    </w:p>
    <w:p w:rsidR="009E7EE8" w:rsidRDefault="009E7EE8" w:rsidP="00C51473">
      <w:pPr>
        <w:jc w:val="center"/>
        <w:rPr>
          <w:i/>
          <w:sz w:val="24"/>
          <w:szCs w:val="24"/>
        </w:rPr>
      </w:pPr>
    </w:p>
    <w:p w:rsidR="009E7EE8" w:rsidRDefault="009E7EE8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B27C74" w:rsidRDefault="00B27C74" w:rsidP="00C51473">
      <w:pPr>
        <w:jc w:val="center"/>
        <w:rPr>
          <w:i/>
          <w:sz w:val="24"/>
          <w:szCs w:val="24"/>
        </w:rPr>
      </w:pPr>
    </w:p>
    <w:p w:rsidR="00E077AE" w:rsidRPr="00E077AE" w:rsidRDefault="00E077AE" w:rsidP="00C51473">
      <w:pPr>
        <w:jc w:val="center"/>
        <w:rPr>
          <w:sz w:val="24"/>
          <w:szCs w:val="24"/>
        </w:rPr>
      </w:pPr>
      <w:r w:rsidRPr="00C51473">
        <w:rPr>
          <w:i/>
          <w:sz w:val="24"/>
          <w:szCs w:val="24"/>
        </w:rPr>
        <w:lastRenderedPageBreak/>
        <w:t>Л</w:t>
      </w:r>
      <w:r w:rsidR="00FB1E95" w:rsidRPr="00C51473">
        <w:rPr>
          <w:i/>
          <w:sz w:val="24"/>
          <w:szCs w:val="24"/>
        </w:rPr>
        <w:t>итератур</w:t>
      </w:r>
      <w:r w:rsidRPr="00C51473">
        <w:rPr>
          <w:i/>
          <w:sz w:val="24"/>
          <w:szCs w:val="24"/>
        </w:rPr>
        <w:t>а:</w:t>
      </w:r>
    </w:p>
    <w:p w:rsidR="00E077AE" w:rsidRPr="00E077AE" w:rsidRDefault="00E077AE" w:rsidP="00E077AE">
      <w:pPr>
        <w:rPr>
          <w:sz w:val="24"/>
          <w:szCs w:val="24"/>
        </w:rPr>
      </w:pPr>
    </w:p>
    <w:p w:rsidR="00E077AE" w:rsidRDefault="00E077AE" w:rsidP="00E077AE">
      <w:pPr>
        <w:rPr>
          <w:sz w:val="24"/>
          <w:szCs w:val="24"/>
        </w:rPr>
      </w:pPr>
      <w:r w:rsidRPr="00E077AE">
        <w:rPr>
          <w:sz w:val="24"/>
          <w:szCs w:val="24"/>
        </w:rPr>
        <w:t>1. З</w:t>
      </w:r>
      <w:r w:rsidR="00FC3083">
        <w:rPr>
          <w:sz w:val="24"/>
          <w:szCs w:val="24"/>
        </w:rPr>
        <w:t>акон</w:t>
      </w:r>
      <w:r w:rsidRPr="00E077AE">
        <w:rPr>
          <w:sz w:val="24"/>
          <w:szCs w:val="24"/>
        </w:rPr>
        <w:t xml:space="preserve"> Республики Беларусь от 5.07.2004 № 300-З «Об архитектурной, градостроительной и строительной деятельности в Республике Беларусь» (2/1049).</w:t>
      </w:r>
    </w:p>
    <w:p w:rsidR="00C51473" w:rsidRDefault="00FC3083" w:rsidP="00FC308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C3083">
        <w:rPr>
          <w:sz w:val="24"/>
          <w:szCs w:val="24"/>
        </w:rPr>
        <w:t>Закон Республики Беларусь от 18</w:t>
      </w:r>
      <w:r w:rsidR="00416B5A">
        <w:rPr>
          <w:sz w:val="24"/>
          <w:szCs w:val="24"/>
        </w:rPr>
        <w:t>.07.</w:t>
      </w:r>
      <w:r w:rsidRPr="00FC3083">
        <w:rPr>
          <w:sz w:val="24"/>
          <w:szCs w:val="24"/>
        </w:rPr>
        <w:t>2016 № 399-З</w:t>
      </w:r>
      <w:r>
        <w:rPr>
          <w:sz w:val="24"/>
          <w:szCs w:val="24"/>
        </w:rPr>
        <w:t xml:space="preserve"> </w:t>
      </w:r>
      <w:r w:rsidRPr="00FC3083">
        <w:rPr>
          <w:sz w:val="24"/>
          <w:szCs w:val="24"/>
        </w:rPr>
        <w:t>«О государственной экологической экспертизе, стратегической экологической оценке и</w:t>
      </w:r>
      <w:r>
        <w:rPr>
          <w:sz w:val="24"/>
          <w:szCs w:val="24"/>
        </w:rPr>
        <w:t xml:space="preserve"> </w:t>
      </w:r>
      <w:r w:rsidRPr="00FC3083">
        <w:rPr>
          <w:sz w:val="24"/>
          <w:szCs w:val="24"/>
        </w:rPr>
        <w:t>оценке воздействия на окружающую среду»</w:t>
      </w:r>
      <w:r w:rsidR="00416B5A">
        <w:rPr>
          <w:sz w:val="24"/>
          <w:szCs w:val="24"/>
        </w:rPr>
        <w:t>.</w:t>
      </w:r>
    </w:p>
    <w:p w:rsidR="00C51473" w:rsidRPr="00E077AE" w:rsidRDefault="00FC3083" w:rsidP="00FC308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C3083">
        <w:rPr>
          <w:sz w:val="24"/>
          <w:szCs w:val="24"/>
        </w:rPr>
        <w:t>З</w:t>
      </w:r>
      <w:r>
        <w:rPr>
          <w:sz w:val="24"/>
          <w:szCs w:val="24"/>
        </w:rPr>
        <w:t>акон</w:t>
      </w:r>
      <w:r w:rsidRPr="00FC3083">
        <w:rPr>
          <w:sz w:val="24"/>
          <w:szCs w:val="24"/>
        </w:rPr>
        <w:t xml:space="preserve"> Республики Беларусь</w:t>
      </w:r>
      <w:r>
        <w:rPr>
          <w:sz w:val="24"/>
          <w:szCs w:val="24"/>
        </w:rPr>
        <w:t xml:space="preserve"> от </w:t>
      </w:r>
      <w:r w:rsidRPr="00FC3083">
        <w:rPr>
          <w:sz w:val="24"/>
          <w:szCs w:val="24"/>
        </w:rPr>
        <w:t>15 июля 2019 г. № 218-З</w:t>
      </w:r>
      <w:r>
        <w:rPr>
          <w:sz w:val="24"/>
          <w:szCs w:val="24"/>
        </w:rPr>
        <w:t>, «О</w:t>
      </w:r>
      <w:r w:rsidRPr="00FC3083">
        <w:rPr>
          <w:sz w:val="24"/>
          <w:szCs w:val="24"/>
        </w:rPr>
        <w:t>б изменении Закона Республики Беларусь</w:t>
      </w:r>
      <w:r>
        <w:rPr>
          <w:sz w:val="24"/>
          <w:szCs w:val="24"/>
        </w:rPr>
        <w:t xml:space="preserve"> </w:t>
      </w:r>
      <w:r w:rsidRPr="00FC3083">
        <w:rPr>
          <w:sz w:val="24"/>
          <w:szCs w:val="24"/>
        </w:rPr>
        <w:t>«О государственной экологической экспертизе,</w:t>
      </w:r>
      <w:r>
        <w:rPr>
          <w:sz w:val="24"/>
          <w:szCs w:val="24"/>
        </w:rPr>
        <w:t xml:space="preserve"> </w:t>
      </w:r>
      <w:r w:rsidRPr="00FC3083">
        <w:rPr>
          <w:sz w:val="24"/>
          <w:szCs w:val="24"/>
        </w:rPr>
        <w:t>стратегической экологической оценке и оценке</w:t>
      </w:r>
      <w:r>
        <w:rPr>
          <w:sz w:val="24"/>
          <w:szCs w:val="24"/>
        </w:rPr>
        <w:t xml:space="preserve"> </w:t>
      </w:r>
      <w:r w:rsidRPr="00FC3083">
        <w:rPr>
          <w:sz w:val="24"/>
          <w:szCs w:val="24"/>
        </w:rPr>
        <w:t>воздействия на окружающую среду»</w:t>
      </w:r>
      <w:r w:rsidR="00416B5A">
        <w:rPr>
          <w:sz w:val="24"/>
          <w:szCs w:val="24"/>
        </w:rPr>
        <w:t>.</w:t>
      </w:r>
    </w:p>
    <w:p w:rsidR="00E505BE" w:rsidRPr="00EE1C15" w:rsidRDefault="00E505BE" w:rsidP="00E505B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E1C15">
        <w:rPr>
          <w:sz w:val="24"/>
          <w:szCs w:val="24"/>
        </w:rPr>
        <w:t>.  Постановление Совета Министров Республики Беларусь от 19.01.2017 № 47 - «Положение о порядке проведения оценки воздействия на окружающую среду».</w:t>
      </w:r>
    </w:p>
    <w:p w:rsidR="00E505BE" w:rsidRPr="00EE1C15" w:rsidRDefault="00E505BE" w:rsidP="00E505B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E1C15">
        <w:rPr>
          <w:sz w:val="24"/>
          <w:szCs w:val="24"/>
        </w:rPr>
        <w:t>. ТКП 17.02-08-2012 (02120) «Охрана окружающей среды и природ</w:t>
      </w:r>
      <w:r w:rsidR="00A71278">
        <w:rPr>
          <w:sz w:val="24"/>
          <w:szCs w:val="24"/>
        </w:rPr>
        <w:t>опользование».</w:t>
      </w:r>
    </w:p>
    <w:p w:rsidR="00DB4D9E" w:rsidRDefault="00E505BE" w:rsidP="000A7E0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0061A">
        <w:rPr>
          <w:sz w:val="24"/>
          <w:szCs w:val="24"/>
        </w:rPr>
        <w:t xml:space="preserve">. </w:t>
      </w:r>
      <w:proofErr w:type="spellStart"/>
      <w:r w:rsidR="0000061A" w:rsidRPr="00FF44B3">
        <w:rPr>
          <w:sz w:val="24"/>
          <w:szCs w:val="24"/>
        </w:rPr>
        <w:t>Сан</w:t>
      </w:r>
      <w:r w:rsidR="0000061A">
        <w:rPr>
          <w:sz w:val="24"/>
          <w:szCs w:val="24"/>
        </w:rPr>
        <w:t>Пин</w:t>
      </w:r>
      <w:proofErr w:type="spellEnd"/>
      <w:r w:rsidR="0000061A" w:rsidRPr="00FF44B3">
        <w:rPr>
          <w:sz w:val="24"/>
          <w:szCs w:val="24"/>
        </w:rPr>
        <w:t xml:space="preserve"> "Гигиенические требования к устройству, оборудованию и содержанию жилых домов", утверждены Постановлением Министерства здравоохранения Республики Беларусь от 25.08.2009 N 95 (8/25607)</w:t>
      </w:r>
      <w:r w:rsidR="0000061A">
        <w:rPr>
          <w:sz w:val="24"/>
          <w:szCs w:val="24"/>
        </w:rPr>
        <w:t>.</w:t>
      </w:r>
    </w:p>
    <w:p w:rsidR="000A7E09" w:rsidRDefault="00E505BE" w:rsidP="000A7E0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A7E09">
        <w:rPr>
          <w:sz w:val="24"/>
          <w:szCs w:val="24"/>
        </w:rPr>
        <w:t xml:space="preserve">. </w:t>
      </w:r>
      <w:r w:rsidR="000A7E09" w:rsidRPr="000A7E09">
        <w:rPr>
          <w:sz w:val="24"/>
          <w:szCs w:val="24"/>
        </w:rPr>
        <w:t>Постановление Главного санитарного врача Республики Беларусь от 31.12.2008 № 23 «Об утверждении Гигиенических нормативов предельно допустимые концентрации (ПДК) и ориентировочные безопасные уровни воздействия (ОБУВ) загрязняющих веществ в атмосферном воздухе населенных мест»</w:t>
      </w:r>
      <w:r w:rsidR="000A7E09">
        <w:rPr>
          <w:sz w:val="24"/>
          <w:szCs w:val="24"/>
        </w:rPr>
        <w:t>.</w:t>
      </w:r>
    </w:p>
    <w:p w:rsidR="00FC3083" w:rsidRDefault="00E505BE" w:rsidP="00AD1D0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D1D0C">
        <w:rPr>
          <w:sz w:val="24"/>
          <w:szCs w:val="24"/>
        </w:rPr>
        <w:t xml:space="preserve">. </w:t>
      </w:r>
      <w:r w:rsidR="00AD1D0C" w:rsidRPr="00AD1D0C">
        <w:rPr>
          <w:sz w:val="24"/>
          <w:szCs w:val="24"/>
        </w:rPr>
        <w:t>Большеротов, А. Л.</w:t>
      </w:r>
      <w:r w:rsidR="00AD1D0C">
        <w:rPr>
          <w:sz w:val="24"/>
          <w:szCs w:val="24"/>
        </w:rPr>
        <w:t xml:space="preserve"> </w:t>
      </w:r>
      <w:r w:rsidR="00AD1D0C" w:rsidRPr="00AD1D0C">
        <w:rPr>
          <w:sz w:val="24"/>
          <w:szCs w:val="24"/>
        </w:rPr>
        <w:t>Структура комплексной экологической безопасности строительства</w:t>
      </w:r>
      <w:r w:rsidR="00AD1D0C">
        <w:rPr>
          <w:sz w:val="24"/>
          <w:szCs w:val="24"/>
        </w:rPr>
        <w:t>/</w:t>
      </w:r>
      <w:r w:rsidR="00AD1D0C" w:rsidRPr="00AD1D0C">
        <w:rPr>
          <w:sz w:val="24"/>
          <w:szCs w:val="24"/>
        </w:rPr>
        <w:t xml:space="preserve"> А. Л. Большеротов, Л. В. Большеротова // Жилищное строительство. – 2012. – № 4. – С. 52-57.</w:t>
      </w:r>
    </w:p>
    <w:p w:rsidR="00A84A80" w:rsidRPr="00E077AE" w:rsidRDefault="00E505BE" w:rsidP="00A84A8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84A80" w:rsidRPr="00E077AE">
        <w:rPr>
          <w:sz w:val="24"/>
          <w:szCs w:val="24"/>
        </w:rPr>
        <w:t xml:space="preserve">. Большеротов, А.Л. Методика </w:t>
      </w:r>
      <w:proofErr w:type="gramStart"/>
      <w:r w:rsidR="00A84A80" w:rsidRPr="00E077AE">
        <w:rPr>
          <w:sz w:val="24"/>
          <w:szCs w:val="24"/>
        </w:rPr>
        <w:t>расчета показателя степени концентрации строительства</w:t>
      </w:r>
      <w:proofErr w:type="gramEnd"/>
      <w:r w:rsidR="00A84A80" w:rsidRPr="00E077AE">
        <w:rPr>
          <w:sz w:val="24"/>
          <w:szCs w:val="24"/>
        </w:rPr>
        <w:t xml:space="preserve"> по транспортному критерию // Жилищное строительство. 2012. № 1. С. 34–38. УДК 72:574.</w:t>
      </w:r>
    </w:p>
    <w:p w:rsidR="00A84A80" w:rsidRDefault="00E505BE" w:rsidP="00651F6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51F60">
        <w:rPr>
          <w:sz w:val="24"/>
          <w:szCs w:val="24"/>
        </w:rPr>
        <w:t xml:space="preserve">. </w:t>
      </w:r>
      <w:r w:rsidR="00651F60" w:rsidRPr="00651F60">
        <w:rPr>
          <w:sz w:val="24"/>
          <w:szCs w:val="24"/>
        </w:rPr>
        <w:t>Авчинников</w:t>
      </w:r>
      <w:r w:rsidR="00651F60">
        <w:rPr>
          <w:sz w:val="24"/>
          <w:szCs w:val="24"/>
        </w:rPr>
        <w:t>,</w:t>
      </w:r>
      <w:r w:rsidR="00651F60" w:rsidRPr="00651F60">
        <w:rPr>
          <w:sz w:val="24"/>
          <w:szCs w:val="24"/>
        </w:rPr>
        <w:t xml:space="preserve"> А. Б.</w:t>
      </w:r>
      <w:r w:rsidR="00651F60">
        <w:rPr>
          <w:sz w:val="24"/>
          <w:szCs w:val="24"/>
        </w:rPr>
        <w:t xml:space="preserve"> </w:t>
      </w:r>
      <w:r w:rsidR="00651F60" w:rsidRPr="00651F60">
        <w:rPr>
          <w:sz w:val="24"/>
          <w:szCs w:val="24"/>
        </w:rPr>
        <w:t>Экологическая безопасность: практикум/,</w:t>
      </w:r>
      <w:r w:rsidR="00651F60" w:rsidRPr="00651F60">
        <w:t xml:space="preserve"> </w:t>
      </w:r>
      <w:r w:rsidR="00651F60" w:rsidRPr="00651F60">
        <w:rPr>
          <w:sz w:val="24"/>
          <w:szCs w:val="24"/>
        </w:rPr>
        <w:t>А. Б</w:t>
      </w:r>
      <w:r w:rsidR="00651F60">
        <w:rPr>
          <w:sz w:val="24"/>
          <w:szCs w:val="24"/>
        </w:rPr>
        <w:t>.</w:t>
      </w:r>
      <w:r w:rsidR="00651F60" w:rsidRPr="00651F60">
        <w:rPr>
          <w:sz w:val="24"/>
          <w:szCs w:val="24"/>
        </w:rPr>
        <w:t xml:space="preserve"> Авчинников,</w:t>
      </w:r>
      <w:r w:rsidR="006414E9">
        <w:rPr>
          <w:sz w:val="24"/>
          <w:szCs w:val="24"/>
        </w:rPr>
        <w:t xml:space="preserve">               </w:t>
      </w:r>
      <w:r w:rsidR="00651F60" w:rsidRPr="00651F60">
        <w:rPr>
          <w:sz w:val="24"/>
          <w:szCs w:val="24"/>
        </w:rPr>
        <w:t>Е. Ю. Жук. – Минск: ИВЦ Минфина, 2017. – 42 с.</w:t>
      </w:r>
      <w:r w:rsidR="00651F60" w:rsidRPr="00651F60">
        <w:rPr>
          <w:sz w:val="24"/>
          <w:szCs w:val="24"/>
        </w:rPr>
        <w:cr/>
      </w:r>
      <w:r>
        <w:rPr>
          <w:sz w:val="24"/>
          <w:szCs w:val="24"/>
        </w:rPr>
        <w:t>11</w:t>
      </w:r>
      <w:r w:rsidR="00651F60" w:rsidRPr="00357FC1">
        <w:rPr>
          <w:sz w:val="24"/>
          <w:szCs w:val="24"/>
        </w:rPr>
        <w:t>. Арсеньева, Л.А., Сутягин М.М. Планировка и застройка мик</w:t>
      </w:r>
      <w:r w:rsidR="00AE3ACD">
        <w:rPr>
          <w:sz w:val="24"/>
          <w:szCs w:val="24"/>
        </w:rPr>
        <w:t>рорайона на 6 – 9 тыс. жителей</w:t>
      </w:r>
      <w:r w:rsidR="00651F60" w:rsidRPr="00357FC1">
        <w:rPr>
          <w:sz w:val="24"/>
          <w:szCs w:val="24"/>
        </w:rPr>
        <w:t>/Л.А. Арсеньева. – Брест: УО «БГТУ», 2002 – 16 с.</w:t>
      </w:r>
    </w:p>
    <w:p w:rsidR="00E077AE" w:rsidRPr="00E077AE" w:rsidRDefault="006360D0" w:rsidP="00E077A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05BE">
        <w:rPr>
          <w:sz w:val="24"/>
          <w:szCs w:val="24"/>
        </w:rPr>
        <w:t>2</w:t>
      </w:r>
      <w:r w:rsidR="00E077AE" w:rsidRPr="00E077AE">
        <w:rPr>
          <w:sz w:val="24"/>
          <w:szCs w:val="24"/>
        </w:rPr>
        <w:t>. Главное статистическое управление Гродненской области, 1998-2020</w:t>
      </w:r>
      <w:r w:rsidR="008927A1" w:rsidRPr="008927A1">
        <w:rPr>
          <w:sz w:val="24"/>
          <w:szCs w:val="24"/>
        </w:rPr>
        <w:t xml:space="preserve"> </w:t>
      </w:r>
      <w:r w:rsidR="00E077AE" w:rsidRPr="00E077AE">
        <w:rPr>
          <w:sz w:val="24"/>
          <w:szCs w:val="24"/>
        </w:rPr>
        <w:t xml:space="preserve">[Электронный ресурс] //  - Режим доступа: http://www.grodno.belstat.gov.by. - Дата доступа 24.02.2020. </w:t>
      </w:r>
    </w:p>
    <w:p w:rsidR="00E00A35" w:rsidRPr="00E077AE" w:rsidRDefault="00E00A35" w:rsidP="00E00A35">
      <w:pPr>
        <w:rPr>
          <w:sz w:val="24"/>
          <w:szCs w:val="24"/>
        </w:rPr>
      </w:pPr>
      <w:r w:rsidRPr="00E00A35">
        <w:rPr>
          <w:sz w:val="24"/>
          <w:szCs w:val="24"/>
        </w:rPr>
        <w:t>1</w:t>
      </w:r>
      <w:r w:rsidR="00E505BE">
        <w:rPr>
          <w:sz w:val="24"/>
          <w:szCs w:val="24"/>
        </w:rPr>
        <w:t>3</w:t>
      </w:r>
      <w:r w:rsidRPr="00E077AE">
        <w:rPr>
          <w:sz w:val="24"/>
          <w:szCs w:val="24"/>
        </w:rPr>
        <w:t>. Большеротов</w:t>
      </w:r>
      <w:r>
        <w:rPr>
          <w:sz w:val="24"/>
          <w:szCs w:val="24"/>
        </w:rPr>
        <w:t>,</w:t>
      </w:r>
      <w:r w:rsidRPr="00E077AE">
        <w:rPr>
          <w:sz w:val="24"/>
          <w:szCs w:val="24"/>
        </w:rPr>
        <w:t xml:space="preserve"> А.Л. Система оценки экологической безопасности строительства /А.Л. Большеротов // - М., Изд-во АСВ, 2010. 216с. ISBN 978-5-93093-757. </w:t>
      </w:r>
    </w:p>
    <w:p w:rsidR="008927A1" w:rsidRPr="00E077AE" w:rsidRDefault="009F4FA2" w:rsidP="008927A1">
      <w:pPr>
        <w:rPr>
          <w:sz w:val="24"/>
          <w:szCs w:val="24"/>
        </w:rPr>
      </w:pPr>
      <w:r w:rsidRPr="00EE03EA">
        <w:rPr>
          <w:sz w:val="24"/>
          <w:szCs w:val="24"/>
        </w:rPr>
        <w:t>1</w:t>
      </w:r>
      <w:r w:rsidR="00E505BE">
        <w:rPr>
          <w:sz w:val="24"/>
          <w:szCs w:val="24"/>
        </w:rPr>
        <w:t>4</w:t>
      </w:r>
      <w:r w:rsidR="008927A1" w:rsidRPr="00E077AE">
        <w:rPr>
          <w:sz w:val="24"/>
          <w:szCs w:val="24"/>
        </w:rPr>
        <w:t>. ТКП 45-3.01-116-2008 (02250) «ГРАДОСТРОИТЕЛЬСТВО. НАСЕЛЕННЫЕ ПУНКТЫ. Нормы планировки и застройки</w:t>
      </w:r>
      <w:r w:rsidR="008927A1">
        <w:rPr>
          <w:sz w:val="24"/>
          <w:szCs w:val="24"/>
        </w:rPr>
        <w:t>.</w:t>
      </w:r>
      <w:r w:rsidR="008927A1" w:rsidRPr="00E077AE">
        <w:rPr>
          <w:sz w:val="24"/>
          <w:szCs w:val="24"/>
        </w:rPr>
        <w:t xml:space="preserve"> Нормы планировки и застройки» (с дополнениями и изменениями по состоянию на </w:t>
      </w:r>
      <w:r w:rsidR="008927A1">
        <w:rPr>
          <w:sz w:val="24"/>
          <w:szCs w:val="24"/>
        </w:rPr>
        <w:t>декабрь</w:t>
      </w:r>
      <w:r w:rsidR="008927A1" w:rsidRPr="00E077AE">
        <w:rPr>
          <w:sz w:val="24"/>
          <w:szCs w:val="24"/>
        </w:rPr>
        <w:t xml:space="preserve"> 201</w:t>
      </w:r>
      <w:r w:rsidR="008927A1">
        <w:rPr>
          <w:sz w:val="24"/>
          <w:szCs w:val="24"/>
        </w:rPr>
        <w:t>9</w:t>
      </w:r>
      <w:r w:rsidR="008927A1" w:rsidRPr="00E077AE">
        <w:rPr>
          <w:sz w:val="24"/>
          <w:szCs w:val="24"/>
        </w:rPr>
        <w:t xml:space="preserve"> года).</w:t>
      </w:r>
    </w:p>
    <w:p w:rsidR="008927A1" w:rsidRPr="008927A1" w:rsidRDefault="008927A1" w:rsidP="00E077AE">
      <w:pPr>
        <w:rPr>
          <w:sz w:val="24"/>
          <w:szCs w:val="24"/>
        </w:rPr>
      </w:pPr>
    </w:p>
    <w:p w:rsidR="001E7ED1" w:rsidRPr="00357FC1" w:rsidRDefault="001E7ED1" w:rsidP="001E7ED1">
      <w:pPr>
        <w:rPr>
          <w:sz w:val="24"/>
          <w:szCs w:val="24"/>
        </w:rPr>
      </w:pPr>
    </w:p>
    <w:p w:rsidR="001E7ED1" w:rsidRDefault="001E7ED1" w:rsidP="001E7ED1">
      <w:pPr>
        <w:rPr>
          <w:sz w:val="24"/>
          <w:szCs w:val="24"/>
        </w:rPr>
      </w:pPr>
    </w:p>
    <w:p w:rsidR="000A7E09" w:rsidRDefault="000A7E09" w:rsidP="001E7ED1">
      <w:pPr>
        <w:rPr>
          <w:sz w:val="24"/>
          <w:szCs w:val="24"/>
        </w:rPr>
      </w:pPr>
    </w:p>
    <w:p w:rsidR="00FC3083" w:rsidRDefault="00FC3083" w:rsidP="00AA2D20">
      <w:pPr>
        <w:rPr>
          <w:sz w:val="18"/>
          <w:szCs w:val="18"/>
        </w:rPr>
      </w:pPr>
    </w:p>
    <w:p w:rsidR="00FC3083" w:rsidRDefault="00FC3083" w:rsidP="00AA2D20">
      <w:pPr>
        <w:rPr>
          <w:sz w:val="18"/>
          <w:szCs w:val="18"/>
        </w:rPr>
      </w:pPr>
    </w:p>
    <w:p w:rsidR="00FF44B3" w:rsidRPr="00FF44B3" w:rsidRDefault="00FF44B3" w:rsidP="00FF44B3">
      <w:pPr>
        <w:rPr>
          <w:sz w:val="18"/>
          <w:szCs w:val="18"/>
        </w:rPr>
      </w:pPr>
      <w:r w:rsidRPr="00FF44B3">
        <w:rPr>
          <w:sz w:val="18"/>
          <w:szCs w:val="18"/>
        </w:rPr>
        <w:t xml:space="preserve">                                                        </w:t>
      </w:r>
    </w:p>
    <w:p w:rsidR="00E505BE" w:rsidRDefault="00E505BE" w:rsidP="00B14079">
      <w:pPr>
        <w:ind w:firstLine="708"/>
        <w:rPr>
          <w:sz w:val="24"/>
          <w:szCs w:val="24"/>
        </w:rPr>
      </w:pPr>
    </w:p>
    <w:p w:rsidR="00E505BE" w:rsidRDefault="00E505BE" w:rsidP="00B14079">
      <w:pPr>
        <w:ind w:firstLine="708"/>
        <w:rPr>
          <w:sz w:val="24"/>
          <w:szCs w:val="24"/>
        </w:rPr>
      </w:pPr>
    </w:p>
    <w:p w:rsidR="00E505BE" w:rsidRDefault="00E505BE" w:rsidP="00B14079">
      <w:pPr>
        <w:ind w:firstLine="708"/>
        <w:rPr>
          <w:sz w:val="24"/>
          <w:szCs w:val="24"/>
        </w:rPr>
      </w:pPr>
    </w:p>
    <w:p w:rsidR="00E505BE" w:rsidRDefault="00E505BE" w:rsidP="00B14079">
      <w:pPr>
        <w:ind w:firstLine="708"/>
        <w:rPr>
          <w:sz w:val="24"/>
          <w:szCs w:val="24"/>
        </w:rPr>
      </w:pPr>
    </w:p>
    <w:p w:rsidR="00E505BE" w:rsidRDefault="00E505BE" w:rsidP="00B14079">
      <w:pPr>
        <w:ind w:firstLine="708"/>
        <w:rPr>
          <w:sz w:val="24"/>
          <w:szCs w:val="24"/>
        </w:rPr>
      </w:pPr>
    </w:p>
    <w:p w:rsidR="00E505BE" w:rsidRDefault="00E505BE" w:rsidP="00B14079">
      <w:pPr>
        <w:ind w:firstLine="708"/>
        <w:rPr>
          <w:sz w:val="24"/>
          <w:szCs w:val="24"/>
        </w:rPr>
      </w:pPr>
    </w:p>
    <w:p w:rsidR="00C70E7E" w:rsidRDefault="00C70E7E" w:rsidP="00C70E7E">
      <w:pPr>
        <w:ind w:firstLine="708"/>
        <w:rPr>
          <w:sz w:val="24"/>
          <w:szCs w:val="24"/>
        </w:rPr>
      </w:pPr>
    </w:p>
    <w:p w:rsidR="00C70E7E" w:rsidRDefault="00C70E7E" w:rsidP="00C70E7E">
      <w:pPr>
        <w:ind w:firstLine="708"/>
        <w:rPr>
          <w:sz w:val="24"/>
          <w:szCs w:val="24"/>
        </w:rPr>
      </w:pPr>
    </w:p>
    <w:p w:rsidR="00C70E7E" w:rsidRDefault="00C70E7E" w:rsidP="00C70E7E">
      <w:pPr>
        <w:ind w:firstLine="708"/>
        <w:rPr>
          <w:sz w:val="24"/>
          <w:szCs w:val="24"/>
        </w:rPr>
      </w:pPr>
    </w:p>
    <w:p w:rsidR="00C70E7E" w:rsidRDefault="00C70E7E" w:rsidP="00C70E7E">
      <w:pPr>
        <w:ind w:firstLine="708"/>
        <w:rPr>
          <w:sz w:val="24"/>
          <w:szCs w:val="24"/>
        </w:rPr>
      </w:pPr>
    </w:p>
    <w:p w:rsidR="008D122B" w:rsidRDefault="008D122B" w:rsidP="004C25AE">
      <w:pPr>
        <w:ind w:firstLine="708"/>
        <w:jc w:val="center"/>
        <w:rPr>
          <w:sz w:val="24"/>
          <w:szCs w:val="24"/>
        </w:rPr>
      </w:pPr>
      <w:r w:rsidRPr="00C70E7E">
        <w:rPr>
          <w:sz w:val="24"/>
          <w:szCs w:val="24"/>
          <w:lang w:val="en-US"/>
        </w:rPr>
        <w:lastRenderedPageBreak/>
        <w:t>A.V.</w:t>
      </w:r>
      <w:r w:rsidRPr="008D122B">
        <w:rPr>
          <w:sz w:val="24"/>
          <w:szCs w:val="24"/>
          <w:lang w:val="en-US"/>
        </w:rPr>
        <w:t xml:space="preserve"> </w:t>
      </w:r>
      <w:proofErr w:type="spellStart"/>
      <w:r w:rsidR="00C70E7E" w:rsidRPr="00C70E7E">
        <w:rPr>
          <w:sz w:val="24"/>
          <w:szCs w:val="24"/>
          <w:lang w:val="en-US"/>
        </w:rPr>
        <w:t>Ogorodnikov</w:t>
      </w:r>
      <w:proofErr w:type="spellEnd"/>
    </w:p>
    <w:p w:rsidR="004C25AE" w:rsidRPr="004C25AE" w:rsidRDefault="00A5677E" w:rsidP="004C25A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4C25AE" w:rsidRPr="00A5677E" w:rsidRDefault="004C25AE" w:rsidP="004C25AE">
      <w:pPr>
        <w:ind w:firstLine="708"/>
        <w:jc w:val="center"/>
        <w:rPr>
          <w:sz w:val="24"/>
          <w:szCs w:val="24"/>
          <w:lang w:val="en-US"/>
        </w:rPr>
      </w:pPr>
      <w:r w:rsidRPr="00A5677E">
        <w:rPr>
          <w:sz w:val="24"/>
          <w:szCs w:val="24"/>
          <w:lang w:val="en-US"/>
        </w:rPr>
        <w:t>Transport Criterion - Priority Evaluation Framework</w:t>
      </w:r>
    </w:p>
    <w:p w:rsidR="00E505BE" w:rsidRPr="004C25AE" w:rsidRDefault="004C25AE" w:rsidP="004C25AE">
      <w:pPr>
        <w:ind w:firstLine="708"/>
        <w:jc w:val="center"/>
        <w:rPr>
          <w:sz w:val="24"/>
          <w:szCs w:val="24"/>
          <w:lang w:val="en-US"/>
        </w:rPr>
      </w:pPr>
      <w:r w:rsidRPr="004C25AE">
        <w:rPr>
          <w:sz w:val="24"/>
          <w:szCs w:val="24"/>
          <w:lang w:val="en-US"/>
        </w:rPr>
        <w:t>"Levels of concentration of construction" in urbanized territories</w:t>
      </w:r>
    </w:p>
    <w:p w:rsidR="004C25AE" w:rsidRPr="004C25AE" w:rsidRDefault="004C25AE" w:rsidP="00B14079">
      <w:pPr>
        <w:ind w:firstLine="708"/>
        <w:rPr>
          <w:sz w:val="24"/>
          <w:szCs w:val="24"/>
          <w:lang w:val="en-US"/>
        </w:rPr>
      </w:pPr>
    </w:p>
    <w:p w:rsidR="004C25AE" w:rsidRPr="004C25AE" w:rsidRDefault="004C25AE" w:rsidP="00B14079">
      <w:pPr>
        <w:ind w:firstLine="708"/>
        <w:rPr>
          <w:sz w:val="24"/>
          <w:szCs w:val="24"/>
          <w:lang w:val="en-US"/>
        </w:rPr>
      </w:pPr>
    </w:p>
    <w:p w:rsidR="00B14079" w:rsidRPr="00B14079" w:rsidRDefault="00B14079" w:rsidP="00B14079">
      <w:pPr>
        <w:ind w:firstLine="708"/>
        <w:rPr>
          <w:sz w:val="24"/>
          <w:szCs w:val="24"/>
          <w:lang w:val="en-US"/>
        </w:rPr>
      </w:pPr>
      <w:r w:rsidRPr="00B14079">
        <w:rPr>
          <w:sz w:val="24"/>
          <w:szCs w:val="24"/>
          <w:lang w:val="en-US"/>
        </w:rPr>
        <w:t xml:space="preserve">The article considers the current problem of increasing man-made load on the </w:t>
      </w:r>
      <w:proofErr w:type="spellStart"/>
      <w:r w:rsidRPr="00B14079">
        <w:rPr>
          <w:sz w:val="24"/>
          <w:szCs w:val="24"/>
          <w:lang w:val="en-US"/>
        </w:rPr>
        <w:t>selitebic</w:t>
      </w:r>
      <w:proofErr w:type="spellEnd"/>
      <w:r w:rsidRPr="00B14079">
        <w:rPr>
          <w:sz w:val="24"/>
          <w:szCs w:val="24"/>
          <w:lang w:val="en-US"/>
        </w:rPr>
        <w:t xml:space="preserve"> territory taking into account the high concentration of urban construction and the negative impact on the environment and environmental safety of the territory.</w:t>
      </w:r>
    </w:p>
    <w:p w:rsidR="00B14079" w:rsidRPr="00B14079" w:rsidRDefault="00B14079" w:rsidP="00B14079">
      <w:pPr>
        <w:ind w:firstLine="708"/>
        <w:rPr>
          <w:sz w:val="24"/>
          <w:szCs w:val="24"/>
          <w:lang w:val="en-US"/>
        </w:rPr>
      </w:pPr>
      <w:r w:rsidRPr="00B14079">
        <w:rPr>
          <w:sz w:val="24"/>
          <w:szCs w:val="24"/>
          <w:lang w:val="en-US"/>
        </w:rPr>
        <w:t>In a comparative analysis with the current technological norms of the legislation of the Republic of Belarus, the initial testing of the innovative methodology developed in NIU-MGSU (Russian Federation) on the use of the transport criterion as an indicator of the concentration of construction for the assessment of the density of the residential complex "</w:t>
      </w:r>
      <w:proofErr w:type="spellStart"/>
      <w:r w:rsidRPr="00B14079">
        <w:rPr>
          <w:sz w:val="24"/>
          <w:szCs w:val="24"/>
          <w:lang w:val="en-US"/>
        </w:rPr>
        <w:t>Kolbasino</w:t>
      </w:r>
      <w:proofErr w:type="spellEnd"/>
      <w:r w:rsidRPr="00B14079">
        <w:rPr>
          <w:sz w:val="24"/>
          <w:szCs w:val="24"/>
          <w:lang w:val="en-US"/>
        </w:rPr>
        <w:t>" in Grodno was carried out.</w:t>
      </w:r>
    </w:p>
    <w:p w:rsidR="00B14079" w:rsidRPr="00B14079" w:rsidRDefault="00B14079" w:rsidP="00B14079">
      <w:pPr>
        <w:ind w:firstLine="708"/>
        <w:rPr>
          <w:sz w:val="24"/>
          <w:szCs w:val="24"/>
          <w:lang w:val="en-US"/>
        </w:rPr>
      </w:pPr>
      <w:r w:rsidRPr="00B14079">
        <w:rPr>
          <w:sz w:val="24"/>
          <w:szCs w:val="24"/>
          <w:lang w:val="en-US"/>
        </w:rPr>
        <w:t>The scientific novelty and relevance of this topic is that the proposed solution will allow to assess the ecological reserve of the built-up urban territory at the stage of pre-project activity and to predict it taking into account the increase in the density of residential development of settlements.</w:t>
      </w:r>
    </w:p>
    <w:p w:rsidR="00B14079" w:rsidRPr="00B14079" w:rsidRDefault="00B14079" w:rsidP="00B14079">
      <w:pPr>
        <w:rPr>
          <w:sz w:val="24"/>
          <w:szCs w:val="24"/>
          <w:lang w:val="en-US"/>
        </w:rPr>
      </w:pPr>
    </w:p>
    <w:p w:rsidR="00FF44B3" w:rsidRPr="002A1C13" w:rsidRDefault="00B14079" w:rsidP="00B14079">
      <w:pPr>
        <w:rPr>
          <w:sz w:val="18"/>
          <w:szCs w:val="18"/>
          <w:lang w:val="en-US"/>
        </w:rPr>
      </w:pPr>
      <w:r w:rsidRPr="00B14079">
        <w:rPr>
          <w:sz w:val="24"/>
          <w:szCs w:val="24"/>
          <w:lang w:val="en-US"/>
        </w:rPr>
        <w:t>Key words: ecological safety, urban planning activity, man-made load, transport criterion, concentration of construction, density of residential development, problems of urbanization.</w:t>
      </w:r>
    </w:p>
    <w:p w:rsidR="00FF44B3" w:rsidRPr="002A1C13" w:rsidRDefault="00FF44B3" w:rsidP="00AA2D20">
      <w:pPr>
        <w:rPr>
          <w:sz w:val="18"/>
          <w:szCs w:val="18"/>
          <w:lang w:val="en-US"/>
        </w:rPr>
      </w:pPr>
    </w:p>
    <w:p w:rsidR="00AA2D20" w:rsidRPr="002A1C13" w:rsidRDefault="00AA2D20" w:rsidP="00AA2D20">
      <w:pPr>
        <w:rPr>
          <w:sz w:val="18"/>
          <w:szCs w:val="18"/>
          <w:lang w:val="en-US"/>
        </w:rPr>
      </w:pPr>
    </w:p>
    <w:p w:rsidR="00E077AE" w:rsidRPr="00E077AE" w:rsidRDefault="00E077AE" w:rsidP="00E077AE">
      <w:pPr>
        <w:ind w:firstLine="708"/>
        <w:rPr>
          <w:sz w:val="24"/>
          <w:szCs w:val="24"/>
        </w:rPr>
      </w:pPr>
      <w:r w:rsidRPr="00E077AE">
        <w:rPr>
          <w:sz w:val="24"/>
          <w:szCs w:val="24"/>
        </w:rPr>
        <w:t xml:space="preserve">Научный руководитель – </w:t>
      </w:r>
      <w:proofErr w:type="spellStart"/>
      <w:r w:rsidRPr="00E077AE">
        <w:rPr>
          <w:sz w:val="24"/>
          <w:szCs w:val="24"/>
        </w:rPr>
        <w:t>А.Л.Большеротов</w:t>
      </w:r>
      <w:proofErr w:type="spellEnd"/>
      <w:r w:rsidRPr="00E077AE">
        <w:rPr>
          <w:sz w:val="24"/>
          <w:szCs w:val="24"/>
        </w:rPr>
        <w:t xml:space="preserve">, доктор технических наук, профессор кафедры строительного производства, </w:t>
      </w:r>
      <w:r>
        <w:rPr>
          <w:sz w:val="24"/>
          <w:szCs w:val="24"/>
        </w:rPr>
        <w:t>УО «</w:t>
      </w:r>
      <w:r w:rsidRPr="00E077AE">
        <w:rPr>
          <w:sz w:val="24"/>
          <w:szCs w:val="24"/>
        </w:rPr>
        <w:t>Гродненский государственный университет имени Янки Купалы</w:t>
      </w:r>
      <w:r>
        <w:rPr>
          <w:sz w:val="24"/>
          <w:szCs w:val="24"/>
        </w:rPr>
        <w:t>»</w:t>
      </w:r>
      <w:r w:rsidRPr="00E077AE">
        <w:rPr>
          <w:sz w:val="24"/>
          <w:szCs w:val="24"/>
        </w:rPr>
        <w:t>, г. Гродно Республика Беларусь.</w:t>
      </w:r>
    </w:p>
    <w:p w:rsidR="00AA2D20" w:rsidRPr="00C40C1C" w:rsidRDefault="00AA2D20" w:rsidP="00AA2D20">
      <w:pPr>
        <w:rPr>
          <w:sz w:val="18"/>
          <w:szCs w:val="18"/>
        </w:rPr>
      </w:pPr>
    </w:p>
    <w:p w:rsidR="00AA2D20" w:rsidRDefault="00AA2D20" w:rsidP="00AA2D20">
      <w:pPr>
        <w:rPr>
          <w:sz w:val="20"/>
          <w:szCs w:val="20"/>
        </w:rPr>
      </w:pPr>
    </w:p>
    <w:p w:rsidR="00E2004B" w:rsidRPr="001E7ED1" w:rsidRDefault="00E2004B" w:rsidP="00EF2F9F">
      <w:pPr>
        <w:rPr>
          <w:sz w:val="20"/>
          <w:szCs w:val="20"/>
        </w:rPr>
      </w:pPr>
    </w:p>
    <w:p w:rsidR="00E2004B" w:rsidRPr="001E7ED1" w:rsidRDefault="00E2004B" w:rsidP="00EF2F9F">
      <w:pPr>
        <w:rPr>
          <w:sz w:val="20"/>
          <w:szCs w:val="20"/>
        </w:rPr>
      </w:pPr>
    </w:p>
    <w:sectPr w:rsidR="00E2004B" w:rsidRPr="001E7ED1" w:rsidSect="00C0151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C8" w:rsidRDefault="006245C8" w:rsidP="00954D5E">
      <w:r>
        <w:separator/>
      </w:r>
    </w:p>
  </w:endnote>
  <w:endnote w:type="continuationSeparator" w:id="0">
    <w:p w:rsidR="006245C8" w:rsidRDefault="006245C8" w:rsidP="0095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C8" w:rsidRDefault="006245C8" w:rsidP="00954D5E">
      <w:r>
        <w:separator/>
      </w:r>
    </w:p>
  </w:footnote>
  <w:footnote w:type="continuationSeparator" w:id="0">
    <w:p w:rsidR="006245C8" w:rsidRDefault="006245C8" w:rsidP="0095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A3D"/>
    <w:multiLevelType w:val="hybridMultilevel"/>
    <w:tmpl w:val="32D0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9"/>
    <w:rsid w:val="0000061A"/>
    <w:rsid w:val="00014133"/>
    <w:rsid w:val="00014C00"/>
    <w:rsid w:val="0002583D"/>
    <w:rsid w:val="00026529"/>
    <w:rsid w:val="00027CA0"/>
    <w:rsid w:val="000415F3"/>
    <w:rsid w:val="000559E5"/>
    <w:rsid w:val="0006397A"/>
    <w:rsid w:val="00075ECC"/>
    <w:rsid w:val="000A7E09"/>
    <w:rsid w:val="000B15EC"/>
    <w:rsid w:val="000D3D31"/>
    <w:rsid w:val="000D7E65"/>
    <w:rsid w:val="000F6C1C"/>
    <w:rsid w:val="001012AC"/>
    <w:rsid w:val="001014E5"/>
    <w:rsid w:val="001044A9"/>
    <w:rsid w:val="00105D43"/>
    <w:rsid w:val="00120F2F"/>
    <w:rsid w:val="00132A5D"/>
    <w:rsid w:val="00135879"/>
    <w:rsid w:val="00141405"/>
    <w:rsid w:val="00141982"/>
    <w:rsid w:val="00141C48"/>
    <w:rsid w:val="00156DBF"/>
    <w:rsid w:val="001848DF"/>
    <w:rsid w:val="001A0381"/>
    <w:rsid w:val="001A2011"/>
    <w:rsid w:val="001B1996"/>
    <w:rsid w:val="001C02E0"/>
    <w:rsid w:val="001C0E46"/>
    <w:rsid w:val="001E10CB"/>
    <w:rsid w:val="001E27E3"/>
    <w:rsid w:val="001E6C6B"/>
    <w:rsid w:val="001E7ED1"/>
    <w:rsid w:val="002021B4"/>
    <w:rsid w:val="00207BCA"/>
    <w:rsid w:val="00221E03"/>
    <w:rsid w:val="00222AD5"/>
    <w:rsid w:val="00225A0A"/>
    <w:rsid w:val="00235903"/>
    <w:rsid w:val="00240A81"/>
    <w:rsid w:val="002465E1"/>
    <w:rsid w:val="00251531"/>
    <w:rsid w:val="00253094"/>
    <w:rsid w:val="00254EBD"/>
    <w:rsid w:val="00262A7E"/>
    <w:rsid w:val="00284D5C"/>
    <w:rsid w:val="00293CEA"/>
    <w:rsid w:val="00296BD2"/>
    <w:rsid w:val="002A1C13"/>
    <w:rsid w:val="002B6556"/>
    <w:rsid w:val="002D2098"/>
    <w:rsid w:val="002D25B2"/>
    <w:rsid w:val="002E28DF"/>
    <w:rsid w:val="002F454E"/>
    <w:rsid w:val="003213A8"/>
    <w:rsid w:val="00326B7F"/>
    <w:rsid w:val="00345973"/>
    <w:rsid w:val="00352789"/>
    <w:rsid w:val="00357FC1"/>
    <w:rsid w:val="0036432E"/>
    <w:rsid w:val="003779F0"/>
    <w:rsid w:val="003907A2"/>
    <w:rsid w:val="003957D5"/>
    <w:rsid w:val="003A3CDB"/>
    <w:rsid w:val="003A52DC"/>
    <w:rsid w:val="003A5D5D"/>
    <w:rsid w:val="003B0A2C"/>
    <w:rsid w:val="003B7F0C"/>
    <w:rsid w:val="003C4405"/>
    <w:rsid w:val="003F5325"/>
    <w:rsid w:val="00400CEE"/>
    <w:rsid w:val="004031DD"/>
    <w:rsid w:val="00407235"/>
    <w:rsid w:val="00410AA7"/>
    <w:rsid w:val="00416762"/>
    <w:rsid w:val="00416B5A"/>
    <w:rsid w:val="00424160"/>
    <w:rsid w:val="00433D38"/>
    <w:rsid w:val="004433EC"/>
    <w:rsid w:val="00453E55"/>
    <w:rsid w:val="00493D61"/>
    <w:rsid w:val="00497066"/>
    <w:rsid w:val="004A6D5B"/>
    <w:rsid w:val="004B2370"/>
    <w:rsid w:val="004B57C3"/>
    <w:rsid w:val="004C25AE"/>
    <w:rsid w:val="004D71E1"/>
    <w:rsid w:val="004E3EAD"/>
    <w:rsid w:val="004F61EE"/>
    <w:rsid w:val="005162FA"/>
    <w:rsid w:val="0053044A"/>
    <w:rsid w:val="0053559D"/>
    <w:rsid w:val="005512DC"/>
    <w:rsid w:val="00553258"/>
    <w:rsid w:val="005536BA"/>
    <w:rsid w:val="00575CD6"/>
    <w:rsid w:val="00577131"/>
    <w:rsid w:val="00583B7A"/>
    <w:rsid w:val="00586191"/>
    <w:rsid w:val="005B0999"/>
    <w:rsid w:val="005D1A54"/>
    <w:rsid w:val="005E3E07"/>
    <w:rsid w:val="0061212A"/>
    <w:rsid w:val="00622B2E"/>
    <w:rsid w:val="006245C8"/>
    <w:rsid w:val="006360D0"/>
    <w:rsid w:val="006414E9"/>
    <w:rsid w:val="006440AF"/>
    <w:rsid w:val="00651F60"/>
    <w:rsid w:val="00656B20"/>
    <w:rsid w:val="00656EB3"/>
    <w:rsid w:val="00661FA3"/>
    <w:rsid w:val="0066379F"/>
    <w:rsid w:val="00667D52"/>
    <w:rsid w:val="006707A9"/>
    <w:rsid w:val="00680C33"/>
    <w:rsid w:val="006B4DFB"/>
    <w:rsid w:val="006B664B"/>
    <w:rsid w:val="006C3876"/>
    <w:rsid w:val="006D582A"/>
    <w:rsid w:val="006E5DC6"/>
    <w:rsid w:val="00701C17"/>
    <w:rsid w:val="00703D9C"/>
    <w:rsid w:val="007202F4"/>
    <w:rsid w:val="007225BC"/>
    <w:rsid w:val="00722DE0"/>
    <w:rsid w:val="00731170"/>
    <w:rsid w:val="007315F3"/>
    <w:rsid w:val="00731C89"/>
    <w:rsid w:val="00750923"/>
    <w:rsid w:val="007578FD"/>
    <w:rsid w:val="007854FD"/>
    <w:rsid w:val="0078696F"/>
    <w:rsid w:val="007871F5"/>
    <w:rsid w:val="007B4CE2"/>
    <w:rsid w:val="007B75D4"/>
    <w:rsid w:val="007D1DDD"/>
    <w:rsid w:val="007D5BD3"/>
    <w:rsid w:val="007E2C64"/>
    <w:rsid w:val="007E5737"/>
    <w:rsid w:val="007E7603"/>
    <w:rsid w:val="007F2CB4"/>
    <w:rsid w:val="0080574D"/>
    <w:rsid w:val="008154E8"/>
    <w:rsid w:val="008212EA"/>
    <w:rsid w:val="008446AB"/>
    <w:rsid w:val="00850898"/>
    <w:rsid w:val="00854686"/>
    <w:rsid w:val="008560DD"/>
    <w:rsid w:val="008927A1"/>
    <w:rsid w:val="008A70AD"/>
    <w:rsid w:val="008C24E4"/>
    <w:rsid w:val="008D122B"/>
    <w:rsid w:val="008D5415"/>
    <w:rsid w:val="008D61D6"/>
    <w:rsid w:val="008D7837"/>
    <w:rsid w:val="008E7AE2"/>
    <w:rsid w:val="008E7BEE"/>
    <w:rsid w:val="008F172A"/>
    <w:rsid w:val="0090287B"/>
    <w:rsid w:val="00904DDE"/>
    <w:rsid w:val="00914709"/>
    <w:rsid w:val="00914F34"/>
    <w:rsid w:val="00924A96"/>
    <w:rsid w:val="00927DDA"/>
    <w:rsid w:val="00940F60"/>
    <w:rsid w:val="00954D5E"/>
    <w:rsid w:val="00985BAC"/>
    <w:rsid w:val="0098657F"/>
    <w:rsid w:val="00991911"/>
    <w:rsid w:val="009A5930"/>
    <w:rsid w:val="009C04EB"/>
    <w:rsid w:val="009C4F43"/>
    <w:rsid w:val="009E2F63"/>
    <w:rsid w:val="009E3D7C"/>
    <w:rsid w:val="009E443C"/>
    <w:rsid w:val="009E7EE8"/>
    <w:rsid w:val="009F4FA2"/>
    <w:rsid w:val="009F613A"/>
    <w:rsid w:val="00A067A4"/>
    <w:rsid w:val="00A21960"/>
    <w:rsid w:val="00A25F7A"/>
    <w:rsid w:val="00A30F9E"/>
    <w:rsid w:val="00A440FD"/>
    <w:rsid w:val="00A50BE0"/>
    <w:rsid w:val="00A5677E"/>
    <w:rsid w:val="00A629F0"/>
    <w:rsid w:val="00A71278"/>
    <w:rsid w:val="00A73768"/>
    <w:rsid w:val="00A84A80"/>
    <w:rsid w:val="00A90786"/>
    <w:rsid w:val="00AA2D20"/>
    <w:rsid w:val="00AA5384"/>
    <w:rsid w:val="00AB1593"/>
    <w:rsid w:val="00AB3BFF"/>
    <w:rsid w:val="00AC1E43"/>
    <w:rsid w:val="00AD1D0C"/>
    <w:rsid w:val="00AD4BE9"/>
    <w:rsid w:val="00AE0F78"/>
    <w:rsid w:val="00AE3ACD"/>
    <w:rsid w:val="00B1196B"/>
    <w:rsid w:val="00B14079"/>
    <w:rsid w:val="00B1772D"/>
    <w:rsid w:val="00B21942"/>
    <w:rsid w:val="00B25E88"/>
    <w:rsid w:val="00B27C74"/>
    <w:rsid w:val="00B309BE"/>
    <w:rsid w:val="00B309EF"/>
    <w:rsid w:val="00B31101"/>
    <w:rsid w:val="00B36247"/>
    <w:rsid w:val="00B45D09"/>
    <w:rsid w:val="00B6082B"/>
    <w:rsid w:val="00B64E1F"/>
    <w:rsid w:val="00B72A46"/>
    <w:rsid w:val="00B81BE2"/>
    <w:rsid w:val="00B90AD4"/>
    <w:rsid w:val="00B95F32"/>
    <w:rsid w:val="00BB08A6"/>
    <w:rsid w:val="00BB1521"/>
    <w:rsid w:val="00BB48B7"/>
    <w:rsid w:val="00BB7690"/>
    <w:rsid w:val="00BD017B"/>
    <w:rsid w:val="00BD6470"/>
    <w:rsid w:val="00BE6A6B"/>
    <w:rsid w:val="00BF0B39"/>
    <w:rsid w:val="00BF30B9"/>
    <w:rsid w:val="00BF5FEA"/>
    <w:rsid w:val="00BF7E9B"/>
    <w:rsid w:val="00C01513"/>
    <w:rsid w:val="00C06995"/>
    <w:rsid w:val="00C334CE"/>
    <w:rsid w:val="00C40C1C"/>
    <w:rsid w:val="00C46F34"/>
    <w:rsid w:val="00C51473"/>
    <w:rsid w:val="00C62BD5"/>
    <w:rsid w:val="00C64E0D"/>
    <w:rsid w:val="00C70E7E"/>
    <w:rsid w:val="00C77EB1"/>
    <w:rsid w:val="00CA1CB3"/>
    <w:rsid w:val="00CC047D"/>
    <w:rsid w:val="00CC3E34"/>
    <w:rsid w:val="00CD04BF"/>
    <w:rsid w:val="00CD05EF"/>
    <w:rsid w:val="00CE243B"/>
    <w:rsid w:val="00CE2DBD"/>
    <w:rsid w:val="00CE72E1"/>
    <w:rsid w:val="00D0235F"/>
    <w:rsid w:val="00D109DF"/>
    <w:rsid w:val="00D2603C"/>
    <w:rsid w:val="00D276BC"/>
    <w:rsid w:val="00D2777D"/>
    <w:rsid w:val="00D36517"/>
    <w:rsid w:val="00D41D57"/>
    <w:rsid w:val="00D61E7D"/>
    <w:rsid w:val="00D645E9"/>
    <w:rsid w:val="00D65433"/>
    <w:rsid w:val="00D71B4B"/>
    <w:rsid w:val="00D72334"/>
    <w:rsid w:val="00D83513"/>
    <w:rsid w:val="00D94528"/>
    <w:rsid w:val="00DA3384"/>
    <w:rsid w:val="00DB3419"/>
    <w:rsid w:val="00DB4D9E"/>
    <w:rsid w:val="00DB519D"/>
    <w:rsid w:val="00DB5D60"/>
    <w:rsid w:val="00DC54F0"/>
    <w:rsid w:val="00DD3619"/>
    <w:rsid w:val="00DF1797"/>
    <w:rsid w:val="00E00379"/>
    <w:rsid w:val="00E00A35"/>
    <w:rsid w:val="00E077AE"/>
    <w:rsid w:val="00E10CE1"/>
    <w:rsid w:val="00E111DF"/>
    <w:rsid w:val="00E1149B"/>
    <w:rsid w:val="00E128D6"/>
    <w:rsid w:val="00E2004B"/>
    <w:rsid w:val="00E2742B"/>
    <w:rsid w:val="00E505BE"/>
    <w:rsid w:val="00E513ED"/>
    <w:rsid w:val="00E610D8"/>
    <w:rsid w:val="00E76802"/>
    <w:rsid w:val="00E7702D"/>
    <w:rsid w:val="00E77A3D"/>
    <w:rsid w:val="00E805E1"/>
    <w:rsid w:val="00E84450"/>
    <w:rsid w:val="00E900FC"/>
    <w:rsid w:val="00EA30B3"/>
    <w:rsid w:val="00EB3535"/>
    <w:rsid w:val="00EB7478"/>
    <w:rsid w:val="00ED13EF"/>
    <w:rsid w:val="00ED185E"/>
    <w:rsid w:val="00EE03EA"/>
    <w:rsid w:val="00EE1C15"/>
    <w:rsid w:val="00EE4D85"/>
    <w:rsid w:val="00EF2492"/>
    <w:rsid w:val="00EF2F9F"/>
    <w:rsid w:val="00EF70D0"/>
    <w:rsid w:val="00F01881"/>
    <w:rsid w:val="00F12751"/>
    <w:rsid w:val="00F2562C"/>
    <w:rsid w:val="00F5163F"/>
    <w:rsid w:val="00F627A6"/>
    <w:rsid w:val="00F62F92"/>
    <w:rsid w:val="00F6320F"/>
    <w:rsid w:val="00F6350E"/>
    <w:rsid w:val="00F66ABD"/>
    <w:rsid w:val="00F6766E"/>
    <w:rsid w:val="00F76DC2"/>
    <w:rsid w:val="00F84BFD"/>
    <w:rsid w:val="00F860DD"/>
    <w:rsid w:val="00F966FF"/>
    <w:rsid w:val="00FB1E95"/>
    <w:rsid w:val="00FB64EC"/>
    <w:rsid w:val="00FC3083"/>
    <w:rsid w:val="00FF3D94"/>
    <w:rsid w:val="00FF3F7A"/>
    <w:rsid w:val="00FF44B3"/>
    <w:rsid w:val="00FF5763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4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4D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D5E"/>
  </w:style>
  <w:style w:type="paragraph" w:styleId="a8">
    <w:name w:val="footer"/>
    <w:basedOn w:val="a"/>
    <w:link w:val="a9"/>
    <w:uiPriority w:val="99"/>
    <w:unhideWhenUsed/>
    <w:rsid w:val="00954D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D5E"/>
  </w:style>
  <w:style w:type="paragraph" w:styleId="aa">
    <w:name w:val="List Paragraph"/>
    <w:basedOn w:val="a"/>
    <w:uiPriority w:val="34"/>
    <w:qFormat/>
    <w:rsid w:val="00AD4BE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5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4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4D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D5E"/>
  </w:style>
  <w:style w:type="paragraph" w:styleId="a8">
    <w:name w:val="footer"/>
    <w:basedOn w:val="a"/>
    <w:link w:val="a9"/>
    <w:uiPriority w:val="99"/>
    <w:unhideWhenUsed/>
    <w:rsid w:val="00954D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D5E"/>
  </w:style>
  <w:style w:type="paragraph" w:styleId="aa">
    <w:name w:val="List Paragraph"/>
    <w:basedOn w:val="a"/>
    <w:uiPriority w:val="34"/>
    <w:qFormat/>
    <w:rsid w:val="00AD4BE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5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6088-8846-4388-88AD-89913835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8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ОГОРОДНИКОВ АЛЕКСАНДР ВИКТОРОВИЧ</dc:creator>
  <cp:keywords/>
  <dc:description/>
  <cp:lastModifiedBy>ОГОРОДНИКОВ АЛЕКСАНДР ВИКТОРОВИЧ</cp:lastModifiedBy>
  <cp:revision>267</cp:revision>
  <dcterms:created xsi:type="dcterms:W3CDTF">2020-01-22T08:15:00Z</dcterms:created>
  <dcterms:modified xsi:type="dcterms:W3CDTF">2020-06-08T10:02:00Z</dcterms:modified>
</cp:coreProperties>
</file>